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1E19" w14:textId="77777777" w:rsidR="00BA071B" w:rsidRDefault="00D17B80">
      <w:pPr>
        <w:jc w:val="center"/>
        <w:rPr>
          <w:b/>
          <w:sz w:val="44"/>
          <w:szCs w:val="44"/>
        </w:rPr>
      </w:pPr>
      <w:r>
        <w:rPr>
          <w:b/>
          <w:sz w:val="44"/>
          <w:szCs w:val="44"/>
        </w:rPr>
        <w:t xml:space="preserve">    </w:t>
      </w:r>
    </w:p>
    <w:p w14:paraId="18B482D2" w14:textId="77777777" w:rsidR="00BA071B" w:rsidRDefault="00BA071B">
      <w:pPr>
        <w:jc w:val="center"/>
        <w:rPr>
          <w:b/>
          <w:sz w:val="44"/>
          <w:szCs w:val="44"/>
        </w:rPr>
      </w:pPr>
    </w:p>
    <w:p w14:paraId="600B6EAE" w14:textId="77777777" w:rsidR="00BA071B" w:rsidRDefault="00BA071B">
      <w:pPr>
        <w:jc w:val="center"/>
        <w:rPr>
          <w:b/>
          <w:sz w:val="44"/>
          <w:szCs w:val="44"/>
        </w:rPr>
      </w:pPr>
    </w:p>
    <w:p w14:paraId="31A1F27D" w14:textId="77777777" w:rsidR="00BA071B" w:rsidRDefault="00BA071B">
      <w:pPr>
        <w:jc w:val="center"/>
        <w:rPr>
          <w:b/>
          <w:sz w:val="44"/>
          <w:szCs w:val="44"/>
        </w:rPr>
      </w:pPr>
    </w:p>
    <w:p w14:paraId="2CE060C1" w14:textId="77777777" w:rsidR="00BA071B" w:rsidRDefault="00BA071B">
      <w:pPr>
        <w:jc w:val="center"/>
        <w:rPr>
          <w:b/>
          <w:sz w:val="44"/>
          <w:szCs w:val="44"/>
        </w:rPr>
      </w:pPr>
    </w:p>
    <w:p w14:paraId="36ECA08F" w14:textId="77777777" w:rsidR="00BA071B" w:rsidRDefault="00BA071B">
      <w:pPr>
        <w:jc w:val="center"/>
        <w:rPr>
          <w:b/>
          <w:sz w:val="44"/>
          <w:szCs w:val="44"/>
        </w:rPr>
      </w:pPr>
    </w:p>
    <w:p w14:paraId="2ED85CA0" w14:textId="77777777" w:rsidR="00BA071B" w:rsidRDefault="00D17B80">
      <w:pPr>
        <w:rPr>
          <w:b/>
          <w:sz w:val="44"/>
          <w:szCs w:val="44"/>
        </w:rPr>
      </w:pPr>
      <w:r>
        <w:rPr>
          <w:b/>
          <w:sz w:val="44"/>
          <w:szCs w:val="44"/>
        </w:rPr>
        <w:br/>
      </w:r>
    </w:p>
    <w:p w14:paraId="3D663553" w14:textId="77777777" w:rsidR="00BA071B" w:rsidRDefault="00D17B80">
      <w:pPr>
        <w:jc w:val="center"/>
        <w:rPr>
          <w:b/>
          <w:sz w:val="44"/>
          <w:szCs w:val="44"/>
        </w:rPr>
      </w:pPr>
      <w:r>
        <w:rPr>
          <w:b/>
          <w:sz w:val="44"/>
          <w:szCs w:val="44"/>
        </w:rPr>
        <w:t>PPL Electric Utilities Corporation</w:t>
      </w:r>
    </w:p>
    <w:p w14:paraId="15188AC5" w14:textId="77777777" w:rsidR="00BA071B" w:rsidRDefault="00BA071B">
      <w:pPr>
        <w:jc w:val="center"/>
        <w:rPr>
          <w:b/>
          <w:sz w:val="44"/>
          <w:szCs w:val="44"/>
        </w:rPr>
      </w:pPr>
    </w:p>
    <w:p w14:paraId="69906455" w14:textId="77777777" w:rsidR="00BA071B" w:rsidRDefault="00D17B80">
      <w:pPr>
        <w:jc w:val="center"/>
        <w:rPr>
          <w:b/>
          <w:sz w:val="44"/>
          <w:szCs w:val="44"/>
        </w:rPr>
      </w:pPr>
      <w:r>
        <w:rPr>
          <w:b/>
          <w:sz w:val="44"/>
          <w:szCs w:val="44"/>
        </w:rPr>
        <w:t>Standard Offer Program</w:t>
      </w:r>
      <w:r>
        <w:rPr>
          <w:b/>
          <w:sz w:val="44"/>
          <w:szCs w:val="44"/>
        </w:rPr>
        <w:br/>
        <w:t>Process and Rules</w:t>
      </w:r>
    </w:p>
    <w:p w14:paraId="6365F6A1" w14:textId="77777777" w:rsidR="00BA071B" w:rsidRDefault="00BA071B">
      <w:pPr>
        <w:jc w:val="center"/>
        <w:rPr>
          <w:b/>
          <w:sz w:val="44"/>
          <w:szCs w:val="44"/>
        </w:rPr>
      </w:pPr>
    </w:p>
    <w:p w14:paraId="59B371F4" w14:textId="77777777" w:rsidR="00BA071B" w:rsidRDefault="00D17B80">
      <w:pPr>
        <w:jc w:val="center"/>
        <w:rPr>
          <w:b/>
          <w:sz w:val="44"/>
          <w:szCs w:val="44"/>
        </w:rPr>
      </w:pPr>
      <w:r>
        <w:rPr>
          <w:b/>
          <w:sz w:val="44"/>
          <w:szCs w:val="44"/>
        </w:rPr>
        <w:br/>
      </w:r>
      <w:r>
        <w:rPr>
          <w:b/>
          <w:sz w:val="44"/>
          <w:szCs w:val="44"/>
        </w:rPr>
        <w:br/>
      </w:r>
    </w:p>
    <w:p w14:paraId="542773F5" w14:textId="77777777" w:rsidR="00BA071B" w:rsidRDefault="00BA071B">
      <w:pPr>
        <w:jc w:val="center"/>
        <w:rPr>
          <w:b/>
          <w:sz w:val="44"/>
          <w:szCs w:val="44"/>
        </w:rPr>
      </w:pPr>
    </w:p>
    <w:p w14:paraId="08986170" w14:textId="77777777" w:rsidR="00BA071B" w:rsidRDefault="00D17B80">
      <w:pPr>
        <w:jc w:val="center"/>
        <w:rPr>
          <w:b/>
          <w:sz w:val="44"/>
          <w:szCs w:val="44"/>
        </w:rPr>
      </w:pPr>
      <w:r>
        <w:rPr>
          <w:b/>
          <w:sz w:val="44"/>
          <w:szCs w:val="44"/>
        </w:rPr>
        <w:br/>
      </w:r>
    </w:p>
    <w:p w14:paraId="58DEBA96" w14:textId="77777777" w:rsidR="00BA071B" w:rsidRDefault="00BA071B">
      <w:pPr>
        <w:jc w:val="center"/>
        <w:rPr>
          <w:b/>
          <w:sz w:val="44"/>
          <w:szCs w:val="44"/>
        </w:rPr>
      </w:pPr>
    </w:p>
    <w:p w14:paraId="73A8EF78" w14:textId="77777777" w:rsidR="00BA071B" w:rsidRDefault="00BA071B">
      <w:pPr>
        <w:jc w:val="center"/>
        <w:rPr>
          <w:b/>
          <w:sz w:val="44"/>
          <w:szCs w:val="44"/>
        </w:rPr>
      </w:pPr>
    </w:p>
    <w:p w14:paraId="32F7CCC6" w14:textId="77777777" w:rsidR="00BA071B" w:rsidRDefault="00BA071B">
      <w:pPr>
        <w:jc w:val="center"/>
        <w:rPr>
          <w:b/>
          <w:sz w:val="44"/>
          <w:szCs w:val="44"/>
        </w:rPr>
      </w:pPr>
    </w:p>
    <w:p w14:paraId="67779D45" w14:textId="2926E3AD" w:rsidR="00BA071B" w:rsidRDefault="00D17B80">
      <w:pPr>
        <w:jc w:val="center"/>
        <w:rPr>
          <w:b/>
          <w:sz w:val="44"/>
          <w:szCs w:val="44"/>
        </w:rPr>
      </w:pPr>
      <w:r>
        <w:rPr>
          <w:b/>
          <w:sz w:val="44"/>
          <w:szCs w:val="44"/>
        </w:rPr>
        <w:t xml:space="preserve">Dated:  </w:t>
      </w:r>
      <w:r w:rsidR="008B50C5">
        <w:rPr>
          <w:b/>
          <w:sz w:val="44"/>
          <w:szCs w:val="44"/>
        </w:rPr>
        <w:t>June 1, 2021</w:t>
      </w:r>
    </w:p>
    <w:p w14:paraId="72D95BFF" w14:textId="77777777" w:rsidR="00BA071B" w:rsidRDefault="00BA071B">
      <w:pPr>
        <w:rPr>
          <w:b/>
          <w:sz w:val="44"/>
          <w:szCs w:val="44"/>
        </w:rPr>
        <w:sectPr w:rsidR="00BA07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titlePg/>
          <w:docGrid w:linePitch="360"/>
        </w:sectPr>
      </w:pPr>
    </w:p>
    <w:p w14:paraId="17AB301D" w14:textId="77777777" w:rsidR="00BA071B" w:rsidRDefault="00D17B80">
      <w:pPr>
        <w:jc w:val="center"/>
        <w:rPr>
          <w:b/>
          <w:u w:val="single"/>
        </w:rPr>
      </w:pPr>
      <w:r>
        <w:rPr>
          <w:b/>
          <w:u w:val="single"/>
        </w:rPr>
        <w:lastRenderedPageBreak/>
        <w:t>STANDARD OFFER PROGRAM PROCESS and RULES</w:t>
      </w:r>
    </w:p>
    <w:p w14:paraId="1D61805C" w14:textId="77777777" w:rsidR="00BA071B" w:rsidRDefault="00BA071B">
      <w:pPr>
        <w:jc w:val="center"/>
        <w:rPr>
          <w:b/>
          <w:u w:val="single"/>
        </w:rPr>
      </w:pPr>
    </w:p>
    <w:p w14:paraId="40860943" w14:textId="77777777" w:rsidR="00BA071B" w:rsidRDefault="00D17B80">
      <w:pPr>
        <w:jc w:val="center"/>
        <w:rPr>
          <w:b/>
        </w:rPr>
      </w:pPr>
      <w:r>
        <w:rPr>
          <w:b/>
          <w:u w:val="single"/>
        </w:rPr>
        <w:t xml:space="preserve">TABLE OF CONTENTS </w:t>
      </w:r>
    </w:p>
    <w:p w14:paraId="711E1FE3" w14:textId="77777777" w:rsidR="00BA071B" w:rsidRDefault="00BA071B"/>
    <w:p w14:paraId="2BBA2B6C" w14:textId="77777777" w:rsidR="00BA071B" w:rsidRDefault="00BA071B"/>
    <w:p w14:paraId="20208DB3" w14:textId="77777777" w:rsidR="00BA071B" w:rsidRDefault="00D17B80">
      <w:pPr>
        <w:pStyle w:val="TOC1"/>
        <w:tabs>
          <w:tab w:val="right" w:leader="dot" w:pos="9350"/>
        </w:tabs>
        <w:rPr>
          <w:rFonts w:ascii="Calibri" w:hAnsi="Calibri"/>
          <w:b w:val="0"/>
          <w:bCs w:val="0"/>
          <w:caps w:val="0"/>
          <w:noProof/>
          <w:sz w:val="22"/>
          <w:szCs w:val="22"/>
        </w:rPr>
      </w:pPr>
      <w:r>
        <w:fldChar w:fldCharType="begin"/>
      </w:r>
      <w:r>
        <w:instrText xml:space="preserve"> TOC \o "1-3" \h \z \u </w:instrText>
      </w:r>
      <w:r>
        <w:fldChar w:fldCharType="separate"/>
      </w:r>
      <w:hyperlink w:anchor="_Toc350336536" w:history="1">
        <w:r>
          <w:rPr>
            <w:rStyle w:val="Hyperlink"/>
            <w:noProof/>
          </w:rPr>
          <w:t>ARTICLE 1  INTRODUCTION</w:t>
        </w:r>
        <w:r>
          <w:rPr>
            <w:noProof/>
            <w:webHidden/>
          </w:rPr>
          <w:tab/>
        </w:r>
        <w:r>
          <w:rPr>
            <w:noProof/>
            <w:webHidden/>
          </w:rPr>
          <w:fldChar w:fldCharType="begin"/>
        </w:r>
        <w:r>
          <w:rPr>
            <w:noProof/>
            <w:webHidden/>
          </w:rPr>
          <w:instrText xml:space="preserve"> PAGEREF _Toc350336536 \h </w:instrText>
        </w:r>
        <w:r>
          <w:rPr>
            <w:noProof/>
            <w:webHidden/>
          </w:rPr>
        </w:r>
        <w:r>
          <w:rPr>
            <w:noProof/>
            <w:webHidden/>
          </w:rPr>
          <w:fldChar w:fldCharType="separate"/>
        </w:r>
        <w:r>
          <w:rPr>
            <w:noProof/>
            <w:webHidden/>
          </w:rPr>
          <w:t>2</w:t>
        </w:r>
        <w:r>
          <w:rPr>
            <w:noProof/>
            <w:webHidden/>
          </w:rPr>
          <w:fldChar w:fldCharType="end"/>
        </w:r>
      </w:hyperlink>
    </w:p>
    <w:p w14:paraId="1BE8E019" w14:textId="77777777" w:rsidR="00BA071B" w:rsidRDefault="008B50C5">
      <w:pPr>
        <w:pStyle w:val="TOC1"/>
        <w:tabs>
          <w:tab w:val="right" w:leader="dot" w:pos="9350"/>
        </w:tabs>
        <w:rPr>
          <w:rFonts w:ascii="Calibri" w:hAnsi="Calibri"/>
          <w:b w:val="0"/>
          <w:bCs w:val="0"/>
          <w:caps w:val="0"/>
          <w:noProof/>
          <w:sz w:val="22"/>
          <w:szCs w:val="22"/>
        </w:rPr>
      </w:pPr>
      <w:hyperlink w:anchor="_Toc350336537" w:history="1">
        <w:r w:rsidR="00A12CB3">
          <w:rPr>
            <w:rStyle w:val="Hyperlink"/>
            <w:noProof/>
          </w:rPr>
          <w:t>ARTICLE 2  INFORMATION AND SCHEDULE</w:t>
        </w:r>
        <w:r w:rsidR="00A12CB3">
          <w:rPr>
            <w:noProof/>
            <w:webHidden/>
          </w:rPr>
          <w:tab/>
        </w:r>
        <w:r w:rsidR="00A12CB3">
          <w:rPr>
            <w:noProof/>
            <w:webHidden/>
          </w:rPr>
          <w:fldChar w:fldCharType="begin"/>
        </w:r>
        <w:r w:rsidR="00A12CB3">
          <w:rPr>
            <w:noProof/>
            <w:webHidden/>
          </w:rPr>
          <w:instrText xml:space="preserve"> PAGEREF _Toc350336537 \h </w:instrText>
        </w:r>
        <w:r w:rsidR="00A12CB3">
          <w:rPr>
            <w:noProof/>
            <w:webHidden/>
          </w:rPr>
        </w:r>
        <w:r w:rsidR="00A12CB3">
          <w:rPr>
            <w:noProof/>
            <w:webHidden/>
          </w:rPr>
          <w:fldChar w:fldCharType="separate"/>
        </w:r>
        <w:r w:rsidR="00A12CB3">
          <w:rPr>
            <w:noProof/>
            <w:webHidden/>
          </w:rPr>
          <w:t>5</w:t>
        </w:r>
        <w:r w:rsidR="00A12CB3">
          <w:rPr>
            <w:noProof/>
            <w:webHidden/>
          </w:rPr>
          <w:fldChar w:fldCharType="end"/>
        </w:r>
      </w:hyperlink>
    </w:p>
    <w:p w14:paraId="4FE9F147" w14:textId="77777777" w:rsidR="00BA071B" w:rsidRDefault="008B50C5">
      <w:pPr>
        <w:pStyle w:val="TOC1"/>
        <w:tabs>
          <w:tab w:val="right" w:leader="dot" w:pos="9350"/>
        </w:tabs>
        <w:rPr>
          <w:rFonts w:ascii="Calibri" w:hAnsi="Calibri"/>
          <w:b w:val="0"/>
          <w:bCs w:val="0"/>
          <w:caps w:val="0"/>
          <w:noProof/>
          <w:sz w:val="22"/>
          <w:szCs w:val="22"/>
        </w:rPr>
      </w:pPr>
      <w:hyperlink w:anchor="_Toc350336538" w:history="1">
        <w:r w:rsidR="00A12CB3">
          <w:rPr>
            <w:rStyle w:val="Hyperlink"/>
            <w:noProof/>
          </w:rPr>
          <w:t>ARTICLE 3  GENERAL REQUIREMENTS</w:t>
        </w:r>
        <w:r w:rsidR="00A12CB3">
          <w:rPr>
            <w:noProof/>
            <w:webHidden/>
          </w:rPr>
          <w:tab/>
        </w:r>
        <w:r w:rsidR="00A12CB3">
          <w:rPr>
            <w:noProof/>
            <w:webHidden/>
          </w:rPr>
          <w:fldChar w:fldCharType="begin"/>
        </w:r>
        <w:r w:rsidR="00A12CB3">
          <w:rPr>
            <w:noProof/>
            <w:webHidden/>
          </w:rPr>
          <w:instrText xml:space="preserve"> PAGEREF _Toc350336538 \h </w:instrText>
        </w:r>
        <w:r w:rsidR="00A12CB3">
          <w:rPr>
            <w:noProof/>
            <w:webHidden/>
          </w:rPr>
        </w:r>
        <w:r w:rsidR="00A12CB3">
          <w:rPr>
            <w:noProof/>
            <w:webHidden/>
          </w:rPr>
          <w:fldChar w:fldCharType="separate"/>
        </w:r>
        <w:r w:rsidR="00A12CB3">
          <w:rPr>
            <w:noProof/>
            <w:webHidden/>
          </w:rPr>
          <w:t>5</w:t>
        </w:r>
        <w:r w:rsidR="00A12CB3">
          <w:rPr>
            <w:noProof/>
            <w:webHidden/>
          </w:rPr>
          <w:fldChar w:fldCharType="end"/>
        </w:r>
      </w:hyperlink>
    </w:p>
    <w:p w14:paraId="5CDA1499" w14:textId="77777777" w:rsidR="00BA071B" w:rsidRDefault="008B50C5">
      <w:pPr>
        <w:pStyle w:val="TOC1"/>
        <w:tabs>
          <w:tab w:val="right" w:leader="dot" w:pos="9350"/>
        </w:tabs>
        <w:rPr>
          <w:rFonts w:ascii="Calibri" w:hAnsi="Calibri"/>
          <w:b w:val="0"/>
          <w:bCs w:val="0"/>
          <w:caps w:val="0"/>
          <w:noProof/>
          <w:sz w:val="22"/>
          <w:szCs w:val="22"/>
        </w:rPr>
      </w:pPr>
      <w:hyperlink w:anchor="_Toc350336539" w:history="1">
        <w:r w:rsidR="00A12CB3">
          <w:rPr>
            <w:rStyle w:val="Hyperlink"/>
            <w:noProof/>
          </w:rPr>
          <w:t>ARTICLE 4  EGS Qualification Requirements</w:t>
        </w:r>
        <w:r w:rsidR="00A12CB3">
          <w:rPr>
            <w:noProof/>
            <w:webHidden/>
          </w:rPr>
          <w:tab/>
        </w:r>
        <w:r w:rsidR="00A12CB3">
          <w:rPr>
            <w:noProof/>
            <w:webHidden/>
          </w:rPr>
          <w:fldChar w:fldCharType="begin"/>
        </w:r>
        <w:r w:rsidR="00A12CB3">
          <w:rPr>
            <w:noProof/>
            <w:webHidden/>
          </w:rPr>
          <w:instrText xml:space="preserve"> PAGEREF _Toc350336539 \h </w:instrText>
        </w:r>
        <w:r w:rsidR="00A12CB3">
          <w:rPr>
            <w:noProof/>
            <w:webHidden/>
          </w:rPr>
        </w:r>
        <w:r w:rsidR="00A12CB3">
          <w:rPr>
            <w:noProof/>
            <w:webHidden/>
          </w:rPr>
          <w:fldChar w:fldCharType="separate"/>
        </w:r>
        <w:r w:rsidR="00A12CB3">
          <w:rPr>
            <w:noProof/>
            <w:webHidden/>
          </w:rPr>
          <w:t>6</w:t>
        </w:r>
        <w:r w:rsidR="00A12CB3">
          <w:rPr>
            <w:noProof/>
            <w:webHidden/>
          </w:rPr>
          <w:fldChar w:fldCharType="end"/>
        </w:r>
      </w:hyperlink>
    </w:p>
    <w:p w14:paraId="35550953" w14:textId="77777777" w:rsidR="00BA071B" w:rsidRDefault="008B50C5">
      <w:pPr>
        <w:pStyle w:val="TOC1"/>
        <w:tabs>
          <w:tab w:val="right" w:leader="dot" w:pos="9350"/>
        </w:tabs>
        <w:rPr>
          <w:rFonts w:ascii="Calibri" w:hAnsi="Calibri"/>
          <w:b w:val="0"/>
          <w:bCs w:val="0"/>
          <w:caps w:val="0"/>
          <w:noProof/>
          <w:sz w:val="22"/>
          <w:szCs w:val="22"/>
        </w:rPr>
      </w:pPr>
      <w:hyperlink w:anchor="_Toc350336540" w:history="1">
        <w:r w:rsidR="00A12CB3">
          <w:rPr>
            <w:rStyle w:val="Hyperlink"/>
            <w:noProof/>
          </w:rPr>
          <w:t>ARTICLE 5  Customer Communications and Customer Allocation Process</w:t>
        </w:r>
        <w:r w:rsidR="00A12CB3">
          <w:rPr>
            <w:noProof/>
            <w:webHidden/>
          </w:rPr>
          <w:tab/>
        </w:r>
        <w:r w:rsidR="00A12CB3">
          <w:rPr>
            <w:noProof/>
            <w:webHidden/>
          </w:rPr>
          <w:fldChar w:fldCharType="begin"/>
        </w:r>
        <w:r w:rsidR="00A12CB3">
          <w:rPr>
            <w:noProof/>
            <w:webHidden/>
          </w:rPr>
          <w:instrText xml:space="preserve"> PAGEREF _Toc350336540 \h </w:instrText>
        </w:r>
        <w:r w:rsidR="00A12CB3">
          <w:rPr>
            <w:noProof/>
            <w:webHidden/>
          </w:rPr>
        </w:r>
        <w:r w:rsidR="00A12CB3">
          <w:rPr>
            <w:noProof/>
            <w:webHidden/>
          </w:rPr>
          <w:fldChar w:fldCharType="separate"/>
        </w:r>
        <w:r w:rsidR="00A12CB3">
          <w:rPr>
            <w:noProof/>
            <w:webHidden/>
          </w:rPr>
          <w:t>8</w:t>
        </w:r>
        <w:r w:rsidR="00A12CB3">
          <w:rPr>
            <w:noProof/>
            <w:webHidden/>
          </w:rPr>
          <w:fldChar w:fldCharType="end"/>
        </w:r>
      </w:hyperlink>
    </w:p>
    <w:p w14:paraId="1A538388" w14:textId="1D72F689" w:rsidR="00BA071B" w:rsidRDefault="008B50C5">
      <w:pPr>
        <w:pStyle w:val="TOC1"/>
        <w:tabs>
          <w:tab w:val="right" w:leader="dot" w:pos="9350"/>
        </w:tabs>
        <w:rPr>
          <w:rFonts w:ascii="Calibri" w:hAnsi="Calibri"/>
          <w:b w:val="0"/>
          <w:bCs w:val="0"/>
          <w:caps w:val="0"/>
          <w:noProof/>
          <w:sz w:val="22"/>
          <w:szCs w:val="22"/>
        </w:rPr>
      </w:pPr>
      <w:hyperlink w:anchor="_Toc350336541" w:history="1">
        <w:r w:rsidR="00165F6B">
          <w:rPr>
            <w:rStyle w:val="Hyperlink"/>
            <w:noProof/>
          </w:rPr>
          <w:t>ARTICLE 6  EGS Obligations</w:t>
        </w:r>
        <w:r w:rsidR="00165F6B">
          <w:rPr>
            <w:noProof/>
            <w:webHidden/>
          </w:rPr>
          <w:tab/>
          <w:t>9</w:t>
        </w:r>
      </w:hyperlink>
    </w:p>
    <w:p w14:paraId="10E9ABBC" w14:textId="77777777" w:rsidR="00BA071B" w:rsidRDefault="008B50C5">
      <w:pPr>
        <w:pStyle w:val="TOC1"/>
        <w:tabs>
          <w:tab w:val="right" w:leader="dot" w:pos="9350"/>
        </w:tabs>
        <w:rPr>
          <w:rFonts w:ascii="Calibri" w:hAnsi="Calibri"/>
          <w:b w:val="0"/>
          <w:bCs w:val="0"/>
          <w:caps w:val="0"/>
          <w:noProof/>
          <w:sz w:val="22"/>
          <w:szCs w:val="22"/>
        </w:rPr>
      </w:pPr>
      <w:hyperlink w:anchor="_Toc350336542" w:history="1">
        <w:r w:rsidR="009F3BA8">
          <w:rPr>
            <w:rStyle w:val="Hyperlink"/>
            <w:noProof/>
          </w:rPr>
          <w:t>ARTICLE 7  Program Costs and Invoicing</w:t>
        </w:r>
        <w:r w:rsidR="009F3BA8">
          <w:rPr>
            <w:noProof/>
            <w:webHidden/>
          </w:rPr>
          <w:tab/>
        </w:r>
        <w:r w:rsidR="009F3BA8">
          <w:rPr>
            <w:noProof/>
            <w:webHidden/>
          </w:rPr>
          <w:fldChar w:fldCharType="begin"/>
        </w:r>
        <w:r w:rsidR="009F3BA8">
          <w:rPr>
            <w:noProof/>
            <w:webHidden/>
          </w:rPr>
          <w:instrText xml:space="preserve"> PAGEREF _Toc350336542 \h </w:instrText>
        </w:r>
        <w:r w:rsidR="009F3BA8">
          <w:rPr>
            <w:noProof/>
            <w:webHidden/>
          </w:rPr>
        </w:r>
        <w:r w:rsidR="009F3BA8">
          <w:rPr>
            <w:noProof/>
            <w:webHidden/>
          </w:rPr>
          <w:fldChar w:fldCharType="separate"/>
        </w:r>
        <w:r w:rsidR="009F3BA8">
          <w:rPr>
            <w:noProof/>
            <w:webHidden/>
          </w:rPr>
          <w:t>10</w:t>
        </w:r>
        <w:r w:rsidR="009F3BA8">
          <w:rPr>
            <w:noProof/>
            <w:webHidden/>
          </w:rPr>
          <w:fldChar w:fldCharType="end"/>
        </w:r>
      </w:hyperlink>
      <w:r w:rsidR="00165F6B">
        <w:rPr>
          <w:noProof/>
        </w:rPr>
        <w:t>0</w:t>
      </w:r>
    </w:p>
    <w:p w14:paraId="6F6E0F08" w14:textId="77777777" w:rsidR="00BA071B" w:rsidRDefault="008B50C5">
      <w:pPr>
        <w:pStyle w:val="TOC1"/>
        <w:tabs>
          <w:tab w:val="right" w:leader="dot" w:pos="9350"/>
        </w:tabs>
        <w:rPr>
          <w:rFonts w:ascii="Calibri" w:hAnsi="Calibri"/>
          <w:b w:val="0"/>
          <w:bCs w:val="0"/>
          <w:caps w:val="0"/>
          <w:noProof/>
          <w:sz w:val="22"/>
          <w:szCs w:val="22"/>
        </w:rPr>
      </w:pPr>
      <w:hyperlink w:anchor="_Toc350336543" w:history="1">
        <w:r w:rsidR="00A12CB3">
          <w:rPr>
            <w:rStyle w:val="Hyperlink"/>
            <w:noProof/>
          </w:rPr>
          <w:t>ARTICLE 8  REPORTING REQUIREMENTS</w:t>
        </w:r>
        <w:r w:rsidR="00A12CB3">
          <w:rPr>
            <w:noProof/>
            <w:webHidden/>
          </w:rPr>
          <w:tab/>
        </w:r>
        <w:r w:rsidR="00A12CB3">
          <w:rPr>
            <w:noProof/>
            <w:webHidden/>
          </w:rPr>
          <w:fldChar w:fldCharType="begin"/>
        </w:r>
        <w:r w:rsidR="00A12CB3">
          <w:rPr>
            <w:noProof/>
            <w:webHidden/>
          </w:rPr>
          <w:instrText xml:space="preserve"> PAGEREF _Toc350336543 \h </w:instrText>
        </w:r>
        <w:r w:rsidR="00A12CB3">
          <w:rPr>
            <w:noProof/>
            <w:webHidden/>
          </w:rPr>
        </w:r>
        <w:r w:rsidR="00A12CB3">
          <w:rPr>
            <w:noProof/>
            <w:webHidden/>
          </w:rPr>
          <w:fldChar w:fldCharType="separate"/>
        </w:r>
        <w:r w:rsidR="00A12CB3">
          <w:rPr>
            <w:noProof/>
            <w:webHidden/>
          </w:rPr>
          <w:t>11</w:t>
        </w:r>
        <w:r w:rsidR="00A12CB3">
          <w:rPr>
            <w:noProof/>
            <w:webHidden/>
          </w:rPr>
          <w:fldChar w:fldCharType="end"/>
        </w:r>
      </w:hyperlink>
    </w:p>
    <w:p w14:paraId="6C438789" w14:textId="77777777" w:rsidR="00BA071B" w:rsidRDefault="008B50C5">
      <w:pPr>
        <w:pStyle w:val="TOC1"/>
        <w:tabs>
          <w:tab w:val="right" w:leader="dot" w:pos="9350"/>
        </w:tabs>
        <w:rPr>
          <w:rFonts w:ascii="Calibri" w:hAnsi="Calibri"/>
          <w:b w:val="0"/>
          <w:bCs w:val="0"/>
          <w:caps w:val="0"/>
          <w:noProof/>
          <w:sz w:val="22"/>
          <w:szCs w:val="22"/>
        </w:rPr>
      </w:pPr>
      <w:hyperlink w:anchor="_Toc350336544" w:history="1">
        <w:r w:rsidR="009F3BA8">
          <w:rPr>
            <w:rStyle w:val="Hyperlink"/>
            <w:noProof/>
          </w:rPr>
          <w:t>ARTICLE 9 RESERVED RIGHTS</w:t>
        </w:r>
        <w:r w:rsidR="009F3BA8">
          <w:rPr>
            <w:noProof/>
            <w:webHidden/>
          </w:rPr>
          <w:tab/>
        </w:r>
        <w:r w:rsidR="009F3BA8">
          <w:rPr>
            <w:noProof/>
            <w:webHidden/>
          </w:rPr>
          <w:fldChar w:fldCharType="begin"/>
        </w:r>
        <w:r w:rsidR="009F3BA8">
          <w:rPr>
            <w:noProof/>
            <w:webHidden/>
          </w:rPr>
          <w:instrText xml:space="preserve"> PAGEREF _Toc350336544 \h </w:instrText>
        </w:r>
        <w:r w:rsidR="009F3BA8">
          <w:rPr>
            <w:noProof/>
            <w:webHidden/>
          </w:rPr>
        </w:r>
        <w:r w:rsidR="009F3BA8">
          <w:rPr>
            <w:noProof/>
            <w:webHidden/>
          </w:rPr>
          <w:fldChar w:fldCharType="separate"/>
        </w:r>
        <w:r w:rsidR="009F3BA8">
          <w:rPr>
            <w:noProof/>
            <w:webHidden/>
          </w:rPr>
          <w:t>11</w:t>
        </w:r>
        <w:r w:rsidR="009F3BA8">
          <w:rPr>
            <w:noProof/>
            <w:webHidden/>
          </w:rPr>
          <w:fldChar w:fldCharType="end"/>
        </w:r>
      </w:hyperlink>
      <w:r w:rsidR="00165F6B">
        <w:rPr>
          <w:noProof/>
        </w:rPr>
        <w:t>1</w:t>
      </w:r>
    </w:p>
    <w:p w14:paraId="75B386AE" w14:textId="77777777" w:rsidR="00BA071B" w:rsidRDefault="008B50C5">
      <w:pPr>
        <w:pStyle w:val="TOC1"/>
        <w:tabs>
          <w:tab w:val="right" w:leader="dot" w:pos="9350"/>
        </w:tabs>
        <w:rPr>
          <w:rFonts w:ascii="Calibri" w:hAnsi="Calibri"/>
          <w:b w:val="0"/>
          <w:bCs w:val="0"/>
          <w:caps w:val="0"/>
          <w:noProof/>
          <w:sz w:val="22"/>
          <w:szCs w:val="22"/>
        </w:rPr>
      </w:pPr>
      <w:hyperlink w:anchor="_Toc350336545" w:history="1">
        <w:r w:rsidR="009F3BA8">
          <w:rPr>
            <w:rStyle w:val="Hyperlink"/>
            <w:noProof/>
          </w:rPr>
          <w:t>EXHIBIT 1 Standard Offer Program Binding Participation Form</w:t>
        </w:r>
        <w:r w:rsidR="009F3BA8">
          <w:rPr>
            <w:noProof/>
            <w:webHidden/>
          </w:rPr>
          <w:tab/>
        </w:r>
        <w:r w:rsidR="009F3BA8">
          <w:rPr>
            <w:noProof/>
            <w:webHidden/>
          </w:rPr>
          <w:fldChar w:fldCharType="begin"/>
        </w:r>
        <w:r w:rsidR="009F3BA8">
          <w:rPr>
            <w:noProof/>
            <w:webHidden/>
          </w:rPr>
          <w:instrText xml:space="preserve"> PAGEREF _Toc350336545 \h </w:instrText>
        </w:r>
        <w:r w:rsidR="009F3BA8">
          <w:rPr>
            <w:noProof/>
            <w:webHidden/>
          </w:rPr>
        </w:r>
        <w:r w:rsidR="009F3BA8">
          <w:rPr>
            <w:noProof/>
            <w:webHidden/>
          </w:rPr>
          <w:fldChar w:fldCharType="separate"/>
        </w:r>
        <w:r w:rsidR="009F3BA8">
          <w:rPr>
            <w:noProof/>
            <w:webHidden/>
          </w:rPr>
          <w:t>12</w:t>
        </w:r>
        <w:r w:rsidR="009F3BA8">
          <w:rPr>
            <w:noProof/>
            <w:webHidden/>
          </w:rPr>
          <w:fldChar w:fldCharType="end"/>
        </w:r>
      </w:hyperlink>
      <w:r w:rsidR="00165F6B">
        <w:rPr>
          <w:noProof/>
        </w:rPr>
        <w:t>2</w:t>
      </w:r>
    </w:p>
    <w:p w14:paraId="0342C16B" w14:textId="7258032E" w:rsidR="00BA071B" w:rsidRDefault="008B50C5">
      <w:pPr>
        <w:pStyle w:val="TOC1"/>
        <w:tabs>
          <w:tab w:val="right" w:leader="dot" w:pos="9350"/>
        </w:tabs>
        <w:rPr>
          <w:rFonts w:ascii="Calibri" w:hAnsi="Calibri"/>
          <w:b w:val="0"/>
          <w:bCs w:val="0"/>
          <w:caps w:val="0"/>
          <w:noProof/>
          <w:sz w:val="22"/>
          <w:szCs w:val="22"/>
        </w:rPr>
      </w:pPr>
      <w:hyperlink w:anchor="_Toc350336546" w:history="1">
        <w:r w:rsidR="00D17B80">
          <w:rPr>
            <w:rStyle w:val="Hyperlink"/>
            <w:noProof/>
          </w:rPr>
          <w:t>EXHIBIT 2 Standard Offer Program Contact Form</w:t>
        </w:r>
      </w:hyperlink>
      <w:r w:rsidR="00D17B80">
        <w:rPr>
          <w:noProof/>
        </w:rPr>
        <w:t>…</w:t>
      </w:r>
      <w:r w:rsidR="00165F6B">
        <w:rPr>
          <w:noProof/>
        </w:rPr>
        <w:t>……………………………………...</w:t>
      </w:r>
      <w:r w:rsidR="00D17B80">
        <w:rPr>
          <w:noProof/>
        </w:rPr>
        <w:t>….1</w:t>
      </w:r>
      <w:r w:rsidR="00165F6B">
        <w:rPr>
          <w:noProof/>
        </w:rPr>
        <w:t>5</w:t>
      </w:r>
    </w:p>
    <w:p w14:paraId="3302D141" w14:textId="77777777" w:rsidR="00BA071B" w:rsidRDefault="00D17B80">
      <w:r>
        <w:rPr>
          <w:b/>
          <w:bCs/>
          <w:noProof/>
        </w:rPr>
        <w:fldChar w:fldCharType="end"/>
      </w:r>
    </w:p>
    <w:p w14:paraId="0E228AFA" w14:textId="77777777" w:rsidR="00BA071B" w:rsidRDefault="00BA071B"/>
    <w:p w14:paraId="5E3A5390" w14:textId="77777777" w:rsidR="00BA071B" w:rsidRDefault="00D17B80">
      <w:pPr>
        <w:pStyle w:val="Heading1"/>
        <w:rPr>
          <w:b/>
          <w:bCs/>
          <w:sz w:val="28"/>
          <w:szCs w:val="28"/>
        </w:rPr>
      </w:pPr>
      <w:r>
        <w:br w:type="page"/>
      </w:r>
      <w:bookmarkStart w:id="0" w:name="_Toc140469712"/>
      <w:bookmarkStart w:id="1" w:name="_Toc140555252"/>
      <w:bookmarkStart w:id="2" w:name="_Toc140461460"/>
      <w:bookmarkStart w:id="3" w:name="_Toc140461459"/>
      <w:bookmarkStart w:id="4" w:name="_Toc255811085"/>
      <w:bookmarkStart w:id="5" w:name="_Toc323747436"/>
      <w:bookmarkStart w:id="6" w:name="_Toc324512240"/>
      <w:bookmarkStart w:id="7" w:name="_Toc349802702"/>
      <w:bookmarkStart w:id="8" w:name="_Toc350336536"/>
      <w:r>
        <w:rPr>
          <w:b/>
          <w:sz w:val="28"/>
          <w:szCs w:val="28"/>
        </w:rPr>
        <w:lastRenderedPageBreak/>
        <w:t xml:space="preserve">ARTICLE 1 </w:t>
      </w:r>
      <w:r>
        <w:rPr>
          <w:b/>
          <w:sz w:val="28"/>
          <w:szCs w:val="28"/>
        </w:rPr>
        <w:br/>
        <w:t>INTRODUCTION</w:t>
      </w:r>
      <w:bookmarkEnd w:id="0"/>
      <w:bookmarkEnd w:id="1"/>
      <w:bookmarkEnd w:id="2"/>
      <w:bookmarkEnd w:id="3"/>
      <w:bookmarkEnd w:id="4"/>
      <w:bookmarkEnd w:id="5"/>
      <w:bookmarkEnd w:id="6"/>
      <w:bookmarkEnd w:id="7"/>
      <w:bookmarkEnd w:id="8"/>
    </w:p>
    <w:p w14:paraId="7EA4A4BC" w14:textId="77777777" w:rsidR="00BA071B" w:rsidRDefault="00D17B80">
      <w:pPr>
        <w:numPr>
          <w:ilvl w:val="0"/>
          <w:numId w:val="5"/>
        </w:numPr>
        <w:rPr>
          <w:b/>
        </w:rPr>
      </w:pPr>
      <w:r>
        <w:rPr>
          <w:b/>
        </w:rPr>
        <w:t>Introduction</w:t>
      </w:r>
    </w:p>
    <w:p w14:paraId="0D50AFF2" w14:textId="77777777" w:rsidR="00BA071B" w:rsidRDefault="00BA071B"/>
    <w:p w14:paraId="6B7A7CE6" w14:textId="70B4CE6E" w:rsidR="00BA071B" w:rsidRDefault="00D17B80">
      <w:pPr>
        <w:pStyle w:val="StyleOutlinenumbered"/>
        <w:numPr>
          <w:ilvl w:val="1"/>
          <w:numId w:val="5"/>
        </w:numPr>
        <w:ind w:hanging="564"/>
      </w:pPr>
      <w:r>
        <w:t xml:space="preserve">This Standard Offer Program Process and Rules document (“SOP Rules") defines the processes and rules for PPL Electric Utilities Corporation’s (“Company” or “PPL Electric”) Standard Offer Program (“SOP” or “Program”), implemented pursuant to the Pennsylvania Public Utility Commission’s (“PA PUC” or “Commission”) </w:t>
      </w:r>
      <w:bookmarkStart w:id="9" w:name="OLE_LINK1"/>
      <w:r>
        <w:t>Final Order to PPL Electric Utilities Corporation Default Service Program and Procurement Plan V at Docket No.</w:t>
      </w:r>
      <w:r w:rsidR="003C24AC">
        <w:t xml:space="preserve"> </w:t>
      </w:r>
      <w:r w:rsidR="000E330C">
        <w:t xml:space="preserve">P-2020-3019356. </w:t>
      </w:r>
      <w:bookmarkEnd w:id="9"/>
    </w:p>
    <w:p w14:paraId="55168747" w14:textId="77777777" w:rsidR="00BA071B" w:rsidRDefault="00BA071B">
      <w:pPr>
        <w:pStyle w:val="StyleOutlinenumbered"/>
        <w:numPr>
          <w:ilvl w:val="0"/>
          <w:numId w:val="0"/>
        </w:numPr>
        <w:ind w:left="864"/>
      </w:pPr>
    </w:p>
    <w:p w14:paraId="5C509538" w14:textId="69D9B5F4" w:rsidR="00BA071B" w:rsidRDefault="00D17B80">
      <w:pPr>
        <w:pStyle w:val="StyleOutlinenumbered"/>
        <w:numPr>
          <w:ilvl w:val="1"/>
          <w:numId w:val="5"/>
        </w:numPr>
        <w:ind w:hanging="564"/>
      </w:pPr>
      <w:r>
        <w:t>PPL Electric is issuing this SOP Rules document, as a continuous program from June 1, 2021 through May 31, 2025, to solicit participation from Retail Electric Generation Suppliers (“EGS”) in a customer referral program, to serve Residential and Small Commercial &amp; Industrial (“Small C&amp;I”) Customer Groups.  Customers who are participating in OnTrack</w:t>
      </w:r>
      <w:r>
        <w:rPr>
          <w:rStyle w:val="FootnoteReference"/>
        </w:rPr>
        <w:footnoteReference w:id="1"/>
      </w:r>
      <w:r>
        <w:t xml:space="preserve"> are not eligible to participate in SOP.  The Residential Customer Group is defined on the basis of the Company’s existing specific rate schedules as shown in the following table.  The Small C&amp;I Customer Group is defined as those customers under 25kW demand and subsequently on the basis of the Company’s existing specific rate schedules as shown in the following table.  To the extent an existing rate schedule is modified, or replaced by successor rate schedules, PPL Electric, at its sole discretion, will place that rate schedule in the appropriate Customer Group.</w:t>
      </w:r>
    </w:p>
    <w:p w14:paraId="1A796ACD" w14:textId="77777777" w:rsidR="00BA071B" w:rsidRDefault="00BA071B">
      <w:pPr>
        <w:pStyle w:val="StyleOutlinenumbered"/>
        <w:numPr>
          <w:ilvl w:val="0"/>
          <w:numId w:val="0"/>
        </w:numPr>
        <w:rPr>
          <w:sz w:val="20"/>
          <w:szCs w:val="20"/>
        </w:rPr>
      </w:pPr>
    </w:p>
    <w:p w14:paraId="3F02EBB3" w14:textId="77777777" w:rsidR="00BA071B" w:rsidRDefault="00BA071B">
      <w:pPr>
        <w:pStyle w:val="StyleOutlinenumbered"/>
        <w:numPr>
          <w:ilvl w:val="0"/>
          <w:numId w:val="0"/>
        </w:numPr>
        <w:rPr>
          <w:sz w:val="20"/>
          <w:szCs w:val="20"/>
        </w:rPr>
      </w:pPr>
    </w:p>
    <w:tbl>
      <w:tblPr>
        <w:tblW w:w="9891" w:type="dxa"/>
        <w:tblInd w:w="108" w:type="dxa"/>
        <w:tblLook w:val="04A0" w:firstRow="1" w:lastRow="0" w:firstColumn="1" w:lastColumn="0" w:noHBand="0" w:noVBand="1"/>
      </w:tblPr>
      <w:tblGrid>
        <w:gridCol w:w="2123"/>
        <w:gridCol w:w="1149"/>
        <w:gridCol w:w="6619"/>
      </w:tblGrid>
      <w:tr w:rsidR="000B155F" w14:paraId="787EF9E2" w14:textId="77777777">
        <w:trPr>
          <w:trHeight w:val="317"/>
        </w:trPr>
        <w:tc>
          <w:tcPr>
            <w:tcW w:w="2123"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6E1918D4" w14:textId="77777777" w:rsidR="00BA071B" w:rsidRDefault="00D17B80">
            <w:pPr>
              <w:jc w:val="center"/>
              <w:rPr>
                <w:b/>
                <w:bCs/>
                <w:color w:val="000000"/>
                <w:sz w:val="22"/>
                <w:szCs w:val="22"/>
              </w:rPr>
            </w:pPr>
            <w:r>
              <w:rPr>
                <w:b/>
                <w:bCs/>
                <w:color w:val="000000"/>
                <w:sz w:val="22"/>
                <w:szCs w:val="22"/>
              </w:rPr>
              <w:t>Customer Group</w:t>
            </w:r>
          </w:p>
        </w:tc>
        <w:tc>
          <w:tcPr>
            <w:tcW w:w="1149" w:type="dxa"/>
            <w:tcBorders>
              <w:top w:val="single" w:sz="8" w:space="0" w:color="auto"/>
              <w:left w:val="nil"/>
              <w:bottom w:val="double" w:sz="6" w:space="0" w:color="auto"/>
              <w:right w:val="single" w:sz="8" w:space="0" w:color="auto"/>
            </w:tcBorders>
            <w:shd w:val="clear" w:color="auto" w:fill="auto"/>
            <w:noWrap/>
            <w:vAlign w:val="center"/>
            <w:hideMark/>
          </w:tcPr>
          <w:p w14:paraId="53DA5EF2" w14:textId="77777777" w:rsidR="00BA071B" w:rsidRDefault="00D17B80">
            <w:pPr>
              <w:jc w:val="center"/>
              <w:rPr>
                <w:b/>
                <w:bCs/>
                <w:color w:val="000000"/>
                <w:sz w:val="22"/>
                <w:szCs w:val="22"/>
              </w:rPr>
            </w:pPr>
            <w:r>
              <w:rPr>
                <w:b/>
                <w:bCs/>
                <w:color w:val="000000"/>
                <w:sz w:val="22"/>
                <w:szCs w:val="22"/>
              </w:rPr>
              <w:t>Rate Schedule</w:t>
            </w:r>
          </w:p>
        </w:tc>
        <w:tc>
          <w:tcPr>
            <w:tcW w:w="6619" w:type="dxa"/>
            <w:tcBorders>
              <w:top w:val="single" w:sz="8" w:space="0" w:color="auto"/>
              <w:left w:val="nil"/>
              <w:bottom w:val="double" w:sz="6" w:space="0" w:color="auto"/>
              <w:right w:val="single" w:sz="8" w:space="0" w:color="auto"/>
            </w:tcBorders>
            <w:shd w:val="clear" w:color="auto" w:fill="auto"/>
            <w:noWrap/>
            <w:vAlign w:val="center"/>
            <w:hideMark/>
          </w:tcPr>
          <w:p w14:paraId="7B795356" w14:textId="77777777" w:rsidR="00BA071B" w:rsidRDefault="00D17B80">
            <w:pPr>
              <w:jc w:val="center"/>
              <w:rPr>
                <w:b/>
                <w:bCs/>
                <w:color w:val="000000"/>
                <w:sz w:val="22"/>
                <w:szCs w:val="22"/>
              </w:rPr>
            </w:pPr>
            <w:r>
              <w:rPr>
                <w:b/>
                <w:bCs/>
                <w:color w:val="000000"/>
                <w:sz w:val="22"/>
                <w:szCs w:val="22"/>
              </w:rPr>
              <w:t>Description</w:t>
            </w:r>
          </w:p>
        </w:tc>
      </w:tr>
      <w:tr w:rsidR="000B155F" w14:paraId="1084D185" w14:textId="77777777">
        <w:trPr>
          <w:trHeight w:val="332"/>
        </w:trPr>
        <w:tc>
          <w:tcPr>
            <w:tcW w:w="212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4545D1" w14:textId="77777777" w:rsidR="00BA071B" w:rsidRDefault="00D17B80">
            <w:pPr>
              <w:jc w:val="center"/>
              <w:rPr>
                <w:b/>
                <w:bCs/>
                <w:color w:val="000000"/>
                <w:sz w:val="22"/>
                <w:szCs w:val="22"/>
              </w:rPr>
            </w:pPr>
            <w:r>
              <w:rPr>
                <w:b/>
                <w:bCs/>
                <w:color w:val="000000"/>
                <w:sz w:val="22"/>
                <w:szCs w:val="22"/>
              </w:rPr>
              <w:t>Residential</w:t>
            </w:r>
          </w:p>
        </w:tc>
        <w:tc>
          <w:tcPr>
            <w:tcW w:w="1149" w:type="dxa"/>
            <w:tcBorders>
              <w:top w:val="nil"/>
              <w:left w:val="nil"/>
              <w:bottom w:val="single" w:sz="8" w:space="0" w:color="auto"/>
              <w:right w:val="single" w:sz="8" w:space="0" w:color="auto"/>
            </w:tcBorders>
            <w:shd w:val="clear" w:color="auto" w:fill="auto"/>
            <w:noWrap/>
            <w:vAlign w:val="center"/>
            <w:hideMark/>
          </w:tcPr>
          <w:p w14:paraId="0E94405D" w14:textId="77777777" w:rsidR="00BA071B" w:rsidRDefault="00D17B80">
            <w:pPr>
              <w:rPr>
                <w:color w:val="000000"/>
                <w:sz w:val="22"/>
                <w:szCs w:val="22"/>
              </w:rPr>
            </w:pPr>
            <w:r>
              <w:rPr>
                <w:color w:val="000000"/>
                <w:sz w:val="22"/>
                <w:szCs w:val="22"/>
              </w:rPr>
              <w:t>RS</w:t>
            </w:r>
          </w:p>
        </w:tc>
        <w:tc>
          <w:tcPr>
            <w:tcW w:w="6619" w:type="dxa"/>
            <w:tcBorders>
              <w:top w:val="nil"/>
              <w:left w:val="nil"/>
              <w:bottom w:val="single" w:sz="8" w:space="0" w:color="auto"/>
              <w:right w:val="single" w:sz="8" w:space="0" w:color="auto"/>
            </w:tcBorders>
            <w:shd w:val="clear" w:color="auto" w:fill="auto"/>
            <w:noWrap/>
            <w:vAlign w:val="center"/>
            <w:hideMark/>
          </w:tcPr>
          <w:p w14:paraId="6875F6AA" w14:textId="77777777" w:rsidR="00BA071B" w:rsidRDefault="00D17B80">
            <w:pPr>
              <w:rPr>
                <w:color w:val="000000"/>
                <w:sz w:val="22"/>
                <w:szCs w:val="22"/>
              </w:rPr>
            </w:pPr>
            <w:r>
              <w:rPr>
                <w:color w:val="000000"/>
                <w:sz w:val="22"/>
                <w:szCs w:val="22"/>
              </w:rPr>
              <w:t xml:space="preserve">RS – Residential Service </w:t>
            </w:r>
          </w:p>
        </w:tc>
      </w:tr>
      <w:tr w:rsidR="000B155F" w14:paraId="5F643ECC" w14:textId="77777777">
        <w:trPr>
          <w:trHeight w:val="317"/>
        </w:trPr>
        <w:tc>
          <w:tcPr>
            <w:tcW w:w="2123" w:type="dxa"/>
            <w:vMerge/>
            <w:tcBorders>
              <w:top w:val="nil"/>
              <w:left w:val="single" w:sz="8" w:space="0" w:color="auto"/>
              <w:bottom w:val="single" w:sz="8" w:space="0" w:color="000000"/>
              <w:right w:val="single" w:sz="8" w:space="0" w:color="auto"/>
            </w:tcBorders>
            <w:vAlign w:val="center"/>
            <w:hideMark/>
          </w:tcPr>
          <w:p w14:paraId="52669529" w14:textId="77777777" w:rsidR="00BA071B" w:rsidRDefault="00BA071B">
            <w:pPr>
              <w:rPr>
                <w:b/>
                <w:bCs/>
                <w:color w:val="000000"/>
                <w:sz w:val="22"/>
                <w:szCs w:val="22"/>
              </w:rPr>
            </w:pPr>
          </w:p>
        </w:tc>
        <w:tc>
          <w:tcPr>
            <w:tcW w:w="1149" w:type="dxa"/>
            <w:tcBorders>
              <w:top w:val="nil"/>
              <w:left w:val="nil"/>
              <w:bottom w:val="nil"/>
              <w:right w:val="single" w:sz="8" w:space="0" w:color="auto"/>
            </w:tcBorders>
            <w:shd w:val="clear" w:color="auto" w:fill="auto"/>
            <w:noWrap/>
            <w:vAlign w:val="center"/>
            <w:hideMark/>
          </w:tcPr>
          <w:p w14:paraId="4475286D" w14:textId="77777777" w:rsidR="00BA071B" w:rsidRDefault="00D17B80">
            <w:pPr>
              <w:rPr>
                <w:color w:val="000000"/>
                <w:sz w:val="22"/>
                <w:szCs w:val="22"/>
              </w:rPr>
            </w:pPr>
            <w:r>
              <w:rPr>
                <w:color w:val="000000"/>
                <w:sz w:val="22"/>
                <w:szCs w:val="22"/>
              </w:rPr>
              <w:t>RTS</w:t>
            </w:r>
          </w:p>
        </w:tc>
        <w:tc>
          <w:tcPr>
            <w:tcW w:w="6619" w:type="dxa"/>
            <w:tcBorders>
              <w:top w:val="nil"/>
              <w:left w:val="nil"/>
              <w:bottom w:val="nil"/>
              <w:right w:val="single" w:sz="8" w:space="0" w:color="auto"/>
            </w:tcBorders>
            <w:shd w:val="clear" w:color="auto" w:fill="auto"/>
            <w:noWrap/>
            <w:vAlign w:val="center"/>
            <w:hideMark/>
          </w:tcPr>
          <w:p w14:paraId="5D9CB1F7" w14:textId="77777777" w:rsidR="00BA071B" w:rsidRDefault="00D17B80">
            <w:pPr>
              <w:rPr>
                <w:color w:val="000000"/>
                <w:sz w:val="22"/>
                <w:szCs w:val="22"/>
              </w:rPr>
            </w:pPr>
            <w:r>
              <w:rPr>
                <w:color w:val="000000"/>
                <w:sz w:val="22"/>
                <w:szCs w:val="22"/>
              </w:rPr>
              <w:t xml:space="preserve">RTS(R) – Residential Service – Thermal Storage </w:t>
            </w:r>
          </w:p>
        </w:tc>
      </w:tr>
      <w:tr w:rsidR="000B155F" w14:paraId="171EF386" w14:textId="77777777">
        <w:trPr>
          <w:trHeight w:val="317"/>
        </w:trPr>
        <w:tc>
          <w:tcPr>
            <w:tcW w:w="2123" w:type="dxa"/>
            <w:vMerge w:val="restart"/>
            <w:tcBorders>
              <w:top w:val="nil"/>
              <w:left w:val="single" w:sz="8" w:space="0" w:color="auto"/>
              <w:bottom w:val="single" w:sz="8" w:space="0" w:color="000000"/>
              <w:right w:val="single" w:sz="8" w:space="0" w:color="auto"/>
            </w:tcBorders>
            <w:shd w:val="clear" w:color="auto" w:fill="auto"/>
            <w:vAlign w:val="center"/>
            <w:hideMark/>
          </w:tcPr>
          <w:p w14:paraId="23CA11CC" w14:textId="77777777" w:rsidR="00BA071B" w:rsidRDefault="00D17B80">
            <w:pPr>
              <w:jc w:val="center"/>
              <w:rPr>
                <w:b/>
                <w:bCs/>
                <w:color w:val="000000"/>
                <w:sz w:val="22"/>
                <w:szCs w:val="22"/>
              </w:rPr>
            </w:pPr>
            <w:r>
              <w:rPr>
                <w:b/>
                <w:bCs/>
                <w:color w:val="000000"/>
                <w:sz w:val="22"/>
                <w:szCs w:val="22"/>
              </w:rPr>
              <w:t>Small Commercial &amp; Industrial</w:t>
            </w:r>
          </w:p>
        </w:tc>
        <w:tc>
          <w:tcPr>
            <w:tcW w:w="1149" w:type="dxa"/>
            <w:tcBorders>
              <w:top w:val="single" w:sz="8" w:space="0" w:color="auto"/>
              <w:left w:val="nil"/>
              <w:bottom w:val="single" w:sz="8" w:space="0" w:color="auto"/>
              <w:right w:val="single" w:sz="8" w:space="0" w:color="auto"/>
            </w:tcBorders>
            <w:shd w:val="clear" w:color="auto" w:fill="auto"/>
            <w:noWrap/>
            <w:vAlign w:val="center"/>
            <w:hideMark/>
          </w:tcPr>
          <w:p w14:paraId="1A1971FD" w14:textId="77777777" w:rsidR="00BA071B" w:rsidRDefault="00D17B80">
            <w:pPr>
              <w:rPr>
                <w:color w:val="000000"/>
                <w:sz w:val="22"/>
                <w:szCs w:val="22"/>
              </w:rPr>
            </w:pPr>
            <w:r>
              <w:rPr>
                <w:color w:val="000000"/>
                <w:sz w:val="22"/>
                <w:szCs w:val="22"/>
              </w:rPr>
              <w:t>GS-1</w:t>
            </w:r>
          </w:p>
        </w:tc>
        <w:tc>
          <w:tcPr>
            <w:tcW w:w="6619" w:type="dxa"/>
            <w:tcBorders>
              <w:top w:val="single" w:sz="8" w:space="0" w:color="auto"/>
              <w:left w:val="nil"/>
              <w:bottom w:val="single" w:sz="8" w:space="0" w:color="auto"/>
              <w:right w:val="single" w:sz="8" w:space="0" w:color="auto"/>
            </w:tcBorders>
            <w:shd w:val="clear" w:color="auto" w:fill="auto"/>
            <w:noWrap/>
            <w:vAlign w:val="center"/>
            <w:hideMark/>
          </w:tcPr>
          <w:p w14:paraId="5D36B732" w14:textId="77777777" w:rsidR="00BA071B" w:rsidRDefault="00D17B80">
            <w:pPr>
              <w:rPr>
                <w:color w:val="000000"/>
                <w:sz w:val="22"/>
                <w:szCs w:val="22"/>
              </w:rPr>
            </w:pPr>
            <w:r>
              <w:rPr>
                <w:color w:val="000000"/>
                <w:sz w:val="22"/>
                <w:szCs w:val="22"/>
              </w:rPr>
              <w:t xml:space="preserve">GS-1 – Small General Service </w:t>
            </w:r>
          </w:p>
        </w:tc>
      </w:tr>
      <w:tr w:rsidR="000B155F" w14:paraId="1CB117A9" w14:textId="77777777">
        <w:trPr>
          <w:trHeight w:val="317"/>
        </w:trPr>
        <w:tc>
          <w:tcPr>
            <w:tcW w:w="2123" w:type="dxa"/>
            <w:vMerge/>
            <w:tcBorders>
              <w:top w:val="nil"/>
              <w:left w:val="single" w:sz="8" w:space="0" w:color="auto"/>
              <w:bottom w:val="single" w:sz="8" w:space="0" w:color="000000"/>
              <w:right w:val="single" w:sz="8" w:space="0" w:color="auto"/>
            </w:tcBorders>
            <w:vAlign w:val="center"/>
            <w:hideMark/>
          </w:tcPr>
          <w:p w14:paraId="197126E9" w14:textId="77777777" w:rsidR="00BA071B" w:rsidRDefault="00BA071B">
            <w:pPr>
              <w:rPr>
                <w:b/>
                <w:bCs/>
                <w:color w:val="000000"/>
                <w:sz w:val="22"/>
                <w:szCs w:val="22"/>
              </w:rPr>
            </w:pPr>
          </w:p>
        </w:tc>
        <w:tc>
          <w:tcPr>
            <w:tcW w:w="1149" w:type="dxa"/>
            <w:tcBorders>
              <w:top w:val="nil"/>
              <w:left w:val="nil"/>
              <w:bottom w:val="single" w:sz="8" w:space="0" w:color="auto"/>
              <w:right w:val="single" w:sz="8" w:space="0" w:color="auto"/>
            </w:tcBorders>
            <w:shd w:val="clear" w:color="auto" w:fill="auto"/>
            <w:noWrap/>
            <w:vAlign w:val="center"/>
            <w:hideMark/>
          </w:tcPr>
          <w:p w14:paraId="24EE7A35" w14:textId="77777777" w:rsidR="00BA071B" w:rsidRDefault="00D17B80">
            <w:pPr>
              <w:rPr>
                <w:color w:val="000000"/>
                <w:sz w:val="22"/>
                <w:szCs w:val="22"/>
              </w:rPr>
            </w:pPr>
            <w:r>
              <w:rPr>
                <w:color w:val="000000"/>
                <w:sz w:val="22"/>
                <w:szCs w:val="22"/>
              </w:rPr>
              <w:t>GS-3</w:t>
            </w:r>
          </w:p>
        </w:tc>
        <w:tc>
          <w:tcPr>
            <w:tcW w:w="6619" w:type="dxa"/>
            <w:tcBorders>
              <w:top w:val="nil"/>
              <w:left w:val="nil"/>
              <w:bottom w:val="single" w:sz="8" w:space="0" w:color="auto"/>
              <w:right w:val="single" w:sz="8" w:space="0" w:color="auto"/>
            </w:tcBorders>
            <w:shd w:val="clear" w:color="auto" w:fill="auto"/>
            <w:noWrap/>
            <w:vAlign w:val="center"/>
            <w:hideMark/>
          </w:tcPr>
          <w:p w14:paraId="6BD31A9E" w14:textId="77777777" w:rsidR="00BA071B" w:rsidRDefault="00D17B80">
            <w:pPr>
              <w:rPr>
                <w:color w:val="000000"/>
                <w:sz w:val="22"/>
                <w:szCs w:val="22"/>
              </w:rPr>
            </w:pPr>
            <w:r>
              <w:rPr>
                <w:color w:val="000000"/>
                <w:sz w:val="22"/>
                <w:szCs w:val="22"/>
              </w:rPr>
              <w:t>GS-3 – Large General Service – Customers with less than 100 kW peak demand</w:t>
            </w:r>
          </w:p>
        </w:tc>
      </w:tr>
      <w:tr w:rsidR="000B155F" w14:paraId="45993483" w14:textId="77777777">
        <w:trPr>
          <w:trHeight w:val="317"/>
        </w:trPr>
        <w:tc>
          <w:tcPr>
            <w:tcW w:w="2123" w:type="dxa"/>
            <w:vMerge/>
            <w:tcBorders>
              <w:top w:val="nil"/>
              <w:left w:val="single" w:sz="8" w:space="0" w:color="auto"/>
              <w:bottom w:val="single" w:sz="8" w:space="0" w:color="000000"/>
              <w:right w:val="single" w:sz="8" w:space="0" w:color="auto"/>
            </w:tcBorders>
            <w:vAlign w:val="center"/>
            <w:hideMark/>
          </w:tcPr>
          <w:p w14:paraId="50E57666" w14:textId="77777777" w:rsidR="00BA071B" w:rsidRDefault="00BA071B">
            <w:pPr>
              <w:rPr>
                <w:b/>
                <w:bCs/>
                <w:color w:val="000000"/>
                <w:sz w:val="22"/>
                <w:szCs w:val="22"/>
              </w:rPr>
            </w:pPr>
          </w:p>
        </w:tc>
        <w:tc>
          <w:tcPr>
            <w:tcW w:w="1149" w:type="dxa"/>
            <w:tcBorders>
              <w:top w:val="nil"/>
              <w:left w:val="nil"/>
              <w:bottom w:val="single" w:sz="8" w:space="0" w:color="auto"/>
              <w:right w:val="single" w:sz="8" w:space="0" w:color="auto"/>
            </w:tcBorders>
            <w:shd w:val="clear" w:color="auto" w:fill="auto"/>
            <w:noWrap/>
            <w:vAlign w:val="center"/>
            <w:hideMark/>
          </w:tcPr>
          <w:p w14:paraId="0DFC1640" w14:textId="77777777" w:rsidR="00BA071B" w:rsidRDefault="00D17B80">
            <w:pPr>
              <w:rPr>
                <w:color w:val="000000"/>
                <w:sz w:val="22"/>
                <w:szCs w:val="22"/>
              </w:rPr>
            </w:pPr>
            <w:r>
              <w:rPr>
                <w:color w:val="000000"/>
                <w:sz w:val="22"/>
                <w:szCs w:val="22"/>
              </w:rPr>
              <w:t>GH-2</w:t>
            </w:r>
          </w:p>
        </w:tc>
        <w:tc>
          <w:tcPr>
            <w:tcW w:w="6619" w:type="dxa"/>
            <w:tcBorders>
              <w:top w:val="nil"/>
              <w:left w:val="nil"/>
              <w:bottom w:val="single" w:sz="8" w:space="0" w:color="auto"/>
              <w:right w:val="single" w:sz="8" w:space="0" w:color="auto"/>
            </w:tcBorders>
            <w:shd w:val="clear" w:color="auto" w:fill="auto"/>
            <w:noWrap/>
            <w:vAlign w:val="center"/>
            <w:hideMark/>
          </w:tcPr>
          <w:p w14:paraId="1AEE5E02" w14:textId="77777777" w:rsidR="00BA071B" w:rsidRDefault="00D17B80">
            <w:pPr>
              <w:rPr>
                <w:color w:val="000000"/>
                <w:sz w:val="22"/>
                <w:szCs w:val="22"/>
              </w:rPr>
            </w:pPr>
            <w:r>
              <w:rPr>
                <w:color w:val="000000"/>
                <w:sz w:val="22"/>
                <w:szCs w:val="22"/>
              </w:rPr>
              <w:t xml:space="preserve">GH-2(R) – Separate Meter General Space Heating Service </w:t>
            </w:r>
          </w:p>
        </w:tc>
      </w:tr>
      <w:tr w:rsidR="000B155F" w14:paraId="433C1AA1" w14:textId="77777777">
        <w:trPr>
          <w:trHeight w:val="317"/>
        </w:trPr>
        <w:tc>
          <w:tcPr>
            <w:tcW w:w="2123" w:type="dxa"/>
            <w:vMerge/>
            <w:tcBorders>
              <w:top w:val="nil"/>
              <w:left w:val="single" w:sz="8" w:space="0" w:color="auto"/>
              <w:bottom w:val="single" w:sz="8" w:space="0" w:color="000000"/>
              <w:right w:val="single" w:sz="8" w:space="0" w:color="auto"/>
            </w:tcBorders>
            <w:vAlign w:val="center"/>
          </w:tcPr>
          <w:p w14:paraId="218071DD" w14:textId="77777777" w:rsidR="00BA071B" w:rsidRDefault="00BA071B">
            <w:pPr>
              <w:rPr>
                <w:b/>
                <w:bCs/>
                <w:color w:val="000000"/>
                <w:sz w:val="22"/>
                <w:szCs w:val="22"/>
              </w:rPr>
            </w:pPr>
          </w:p>
        </w:tc>
        <w:tc>
          <w:tcPr>
            <w:tcW w:w="1149" w:type="dxa"/>
            <w:tcBorders>
              <w:top w:val="nil"/>
              <w:left w:val="nil"/>
              <w:bottom w:val="single" w:sz="8" w:space="0" w:color="auto"/>
              <w:right w:val="single" w:sz="8" w:space="0" w:color="auto"/>
            </w:tcBorders>
            <w:shd w:val="clear" w:color="auto" w:fill="auto"/>
            <w:noWrap/>
            <w:vAlign w:val="center"/>
          </w:tcPr>
          <w:p w14:paraId="579CF0D1" w14:textId="77777777" w:rsidR="00BA071B" w:rsidRDefault="00D17B80">
            <w:pPr>
              <w:rPr>
                <w:color w:val="000000"/>
                <w:sz w:val="22"/>
                <w:szCs w:val="22"/>
              </w:rPr>
            </w:pPr>
            <w:r>
              <w:rPr>
                <w:color w:val="000000"/>
                <w:sz w:val="22"/>
                <w:szCs w:val="22"/>
              </w:rPr>
              <w:t>LP-4</w:t>
            </w:r>
          </w:p>
        </w:tc>
        <w:tc>
          <w:tcPr>
            <w:tcW w:w="6619" w:type="dxa"/>
            <w:tcBorders>
              <w:top w:val="nil"/>
              <w:left w:val="nil"/>
              <w:bottom w:val="single" w:sz="8" w:space="0" w:color="auto"/>
              <w:right w:val="single" w:sz="8" w:space="0" w:color="auto"/>
            </w:tcBorders>
            <w:shd w:val="clear" w:color="auto" w:fill="auto"/>
            <w:noWrap/>
            <w:vAlign w:val="center"/>
          </w:tcPr>
          <w:p w14:paraId="3ACF7158" w14:textId="77777777" w:rsidR="00BA071B" w:rsidRDefault="00D17B80">
            <w:pPr>
              <w:rPr>
                <w:color w:val="000000"/>
                <w:sz w:val="22"/>
                <w:szCs w:val="22"/>
              </w:rPr>
            </w:pPr>
            <w:r>
              <w:rPr>
                <w:color w:val="000000"/>
                <w:sz w:val="22"/>
                <w:szCs w:val="22"/>
              </w:rPr>
              <w:t>LP-4 – Large General Service (12 KV or Higher) – Customers with less than 100 KW peak demand</w:t>
            </w:r>
          </w:p>
        </w:tc>
      </w:tr>
      <w:tr w:rsidR="000B155F" w14:paraId="2CFB1E84" w14:textId="77777777">
        <w:trPr>
          <w:trHeight w:val="317"/>
        </w:trPr>
        <w:tc>
          <w:tcPr>
            <w:tcW w:w="2123" w:type="dxa"/>
            <w:vMerge/>
            <w:tcBorders>
              <w:top w:val="nil"/>
              <w:left w:val="single" w:sz="8" w:space="0" w:color="auto"/>
              <w:bottom w:val="single" w:sz="8" w:space="0" w:color="000000"/>
              <w:right w:val="single" w:sz="8" w:space="0" w:color="auto"/>
            </w:tcBorders>
            <w:vAlign w:val="center"/>
            <w:hideMark/>
          </w:tcPr>
          <w:p w14:paraId="73D66E46" w14:textId="77777777" w:rsidR="00BA071B" w:rsidRDefault="00BA071B">
            <w:pPr>
              <w:rPr>
                <w:b/>
                <w:bCs/>
                <w:color w:val="000000"/>
                <w:sz w:val="22"/>
                <w:szCs w:val="22"/>
              </w:rPr>
            </w:pPr>
          </w:p>
        </w:tc>
        <w:tc>
          <w:tcPr>
            <w:tcW w:w="1149" w:type="dxa"/>
            <w:tcBorders>
              <w:top w:val="nil"/>
              <w:left w:val="nil"/>
              <w:bottom w:val="single" w:sz="8" w:space="0" w:color="auto"/>
              <w:right w:val="single" w:sz="8" w:space="0" w:color="auto"/>
            </w:tcBorders>
            <w:shd w:val="clear" w:color="auto" w:fill="auto"/>
            <w:noWrap/>
            <w:vAlign w:val="center"/>
            <w:hideMark/>
          </w:tcPr>
          <w:p w14:paraId="045160D4" w14:textId="77777777" w:rsidR="00BA071B" w:rsidRDefault="00D17B80">
            <w:pPr>
              <w:rPr>
                <w:color w:val="000000"/>
                <w:sz w:val="22"/>
                <w:szCs w:val="22"/>
              </w:rPr>
            </w:pPr>
            <w:r>
              <w:rPr>
                <w:color w:val="000000"/>
                <w:sz w:val="22"/>
                <w:szCs w:val="22"/>
              </w:rPr>
              <w:t>BL</w:t>
            </w:r>
          </w:p>
        </w:tc>
        <w:tc>
          <w:tcPr>
            <w:tcW w:w="6619" w:type="dxa"/>
            <w:tcBorders>
              <w:top w:val="nil"/>
              <w:left w:val="nil"/>
              <w:bottom w:val="single" w:sz="8" w:space="0" w:color="auto"/>
              <w:right w:val="single" w:sz="8" w:space="0" w:color="auto"/>
            </w:tcBorders>
            <w:shd w:val="clear" w:color="auto" w:fill="auto"/>
            <w:noWrap/>
            <w:vAlign w:val="center"/>
            <w:hideMark/>
          </w:tcPr>
          <w:p w14:paraId="40FC5FFC" w14:textId="77777777" w:rsidR="00BA071B" w:rsidRDefault="00D17B80">
            <w:pPr>
              <w:rPr>
                <w:color w:val="000000"/>
                <w:sz w:val="22"/>
                <w:szCs w:val="22"/>
              </w:rPr>
            </w:pPr>
            <w:r>
              <w:rPr>
                <w:color w:val="000000"/>
                <w:sz w:val="22"/>
                <w:szCs w:val="22"/>
              </w:rPr>
              <w:t xml:space="preserve">BL – Borderline Service – Electric Utilities </w:t>
            </w:r>
          </w:p>
        </w:tc>
      </w:tr>
      <w:tr w:rsidR="000B155F" w14:paraId="438C8C4C" w14:textId="77777777">
        <w:trPr>
          <w:trHeight w:val="317"/>
        </w:trPr>
        <w:tc>
          <w:tcPr>
            <w:tcW w:w="2123" w:type="dxa"/>
            <w:vMerge/>
            <w:tcBorders>
              <w:top w:val="nil"/>
              <w:left w:val="single" w:sz="8" w:space="0" w:color="auto"/>
              <w:bottom w:val="single" w:sz="8" w:space="0" w:color="000000"/>
              <w:right w:val="single" w:sz="8" w:space="0" w:color="auto"/>
            </w:tcBorders>
            <w:vAlign w:val="center"/>
            <w:hideMark/>
          </w:tcPr>
          <w:p w14:paraId="38CE6ADF" w14:textId="77777777" w:rsidR="00BA071B" w:rsidRDefault="00BA071B">
            <w:pPr>
              <w:rPr>
                <w:b/>
                <w:bCs/>
                <w:color w:val="000000"/>
                <w:sz w:val="22"/>
                <w:szCs w:val="22"/>
              </w:rPr>
            </w:pPr>
          </w:p>
        </w:tc>
        <w:tc>
          <w:tcPr>
            <w:tcW w:w="1149" w:type="dxa"/>
            <w:tcBorders>
              <w:top w:val="nil"/>
              <w:left w:val="nil"/>
              <w:bottom w:val="single" w:sz="8" w:space="0" w:color="auto"/>
              <w:right w:val="single" w:sz="8" w:space="0" w:color="auto"/>
            </w:tcBorders>
            <w:shd w:val="clear" w:color="auto" w:fill="auto"/>
            <w:noWrap/>
            <w:vAlign w:val="center"/>
            <w:hideMark/>
          </w:tcPr>
          <w:p w14:paraId="61E6BA56" w14:textId="77777777" w:rsidR="00BA071B" w:rsidRDefault="00D17B80">
            <w:pPr>
              <w:rPr>
                <w:color w:val="000000"/>
                <w:sz w:val="22"/>
                <w:szCs w:val="22"/>
              </w:rPr>
            </w:pPr>
            <w:r>
              <w:rPr>
                <w:color w:val="000000"/>
                <w:sz w:val="22"/>
                <w:szCs w:val="22"/>
              </w:rPr>
              <w:t>SA</w:t>
            </w:r>
          </w:p>
        </w:tc>
        <w:tc>
          <w:tcPr>
            <w:tcW w:w="6619" w:type="dxa"/>
            <w:tcBorders>
              <w:top w:val="nil"/>
              <w:left w:val="nil"/>
              <w:bottom w:val="single" w:sz="8" w:space="0" w:color="auto"/>
              <w:right w:val="single" w:sz="8" w:space="0" w:color="auto"/>
            </w:tcBorders>
            <w:shd w:val="clear" w:color="auto" w:fill="auto"/>
            <w:noWrap/>
            <w:vAlign w:val="center"/>
            <w:hideMark/>
          </w:tcPr>
          <w:p w14:paraId="6B876076" w14:textId="77777777" w:rsidR="00BA071B" w:rsidRDefault="00D17B80">
            <w:pPr>
              <w:rPr>
                <w:color w:val="000000"/>
                <w:sz w:val="22"/>
                <w:szCs w:val="22"/>
              </w:rPr>
            </w:pPr>
            <w:r>
              <w:rPr>
                <w:color w:val="000000"/>
                <w:sz w:val="22"/>
                <w:szCs w:val="22"/>
              </w:rPr>
              <w:t xml:space="preserve">SA – Private Area Lighting </w:t>
            </w:r>
          </w:p>
        </w:tc>
      </w:tr>
      <w:tr w:rsidR="000B155F" w14:paraId="003EF127" w14:textId="77777777">
        <w:trPr>
          <w:trHeight w:val="317"/>
        </w:trPr>
        <w:tc>
          <w:tcPr>
            <w:tcW w:w="2123" w:type="dxa"/>
            <w:vMerge/>
            <w:tcBorders>
              <w:top w:val="nil"/>
              <w:left w:val="single" w:sz="8" w:space="0" w:color="auto"/>
              <w:bottom w:val="single" w:sz="8" w:space="0" w:color="000000"/>
              <w:right w:val="single" w:sz="8" w:space="0" w:color="auto"/>
            </w:tcBorders>
            <w:vAlign w:val="center"/>
            <w:hideMark/>
          </w:tcPr>
          <w:p w14:paraId="01EF1C26" w14:textId="77777777" w:rsidR="00BA071B" w:rsidRDefault="00BA071B">
            <w:pPr>
              <w:rPr>
                <w:b/>
                <w:bCs/>
                <w:color w:val="000000"/>
                <w:sz w:val="22"/>
                <w:szCs w:val="22"/>
              </w:rPr>
            </w:pPr>
          </w:p>
        </w:tc>
        <w:tc>
          <w:tcPr>
            <w:tcW w:w="1149" w:type="dxa"/>
            <w:tcBorders>
              <w:top w:val="nil"/>
              <w:left w:val="nil"/>
              <w:bottom w:val="single" w:sz="8" w:space="0" w:color="auto"/>
              <w:right w:val="single" w:sz="8" w:space="0" w:color="auto"/>
            </w:tcBorders>
            <w:shd w:val="clear" w:color="auto" w:fill="auto"/>
            <w:noWrap/>
            <w:vAlign w:val="center"/>
            <w:hideMark/>
          </w:tcPr>
          <w:p w14:paraId="4D179DCB" w14:textId="77777777" w:rsidR="00BA071B" w:rsidRDefault="00D17B80">
            <w:pPr>
              <w:rPr>
                <w:color w:val="000000"/>
                <w:sz w:val="22"/>
                <w:szCs w:val="22"/>
              </w:rPr>
            </w:pPr>
            <w:r>
              <w:rPr>
                <w:color w:val="000000"/>
                <w:sz w:val="22"/>
                <w:szCs w:val="22"/>
              </w:rPr>
              <w:t>SM</w:t>
            </w:r>
          </w:p>
        </w:tc>
        <w:tc>
          <w:tcPr>
            <w:tcW w:w="6619" w:type="dxa"/>
            <w:tcBorders>
              <w:top w:val="nil"/>
              <w:left w:val="nil"/>
              <w:bottom w:val="single" w:sz="8" w:space="0" w:color="auto"/>
              <w:right w:val="single" w:sz="8" w:space="0" w:color="auto"/>
            </w:tcBorders>
            <w:shd w:val="clear" w:color="auto" w:fill="auto"/>
            <w:noWrap/>
            <w:vAlign w:val="center"/>
            <w:hideMark/>
          </w:tcPr>
          <w:p w14:paraId="1E0D533C" w14:textId="77777777" w:rsidR="00BA071B" w:rsidRDefault="00D17B80">
            <w:pPr>
              <w:rPr>
                <w:color w:val="000000"/>
                <w:sz w:val="22"/>
                <w:szCs w:val="22"/>
              </w:rPr>
            </w:pPr>
            <w:r>
              <w:rPr>
                <w:color w:val="000000"/>
                <w:sz w:val="22"/>
                <w:szCs w:val="22"/>
              </w:rPr>
              <w:t xml:space="preserve">SM(R) – Mercury Vapor Street Lighting </w:t>
            </w:r>
          </w:p>
        </w:tc>
      </w:tr>
      <w:tr w:rsidR="000B155F" w14:paraId="7325E38C" w14:textId="77777777">
        <w:trPr>
          <w:trHeight w:val="461"/>
        </w:trPr>
        <w:tc>
          <w:tcPr>
            <w:tcW w:w="2123" w:type="dxa"/>
            <w:vMerge/>
            <w:tcBorders>
              <w:top w:val="nil"/>
              <w:left w:val="single" w:sz="8" w:space="0" w:color="auto"/>
              <w:bottom w:val="single" w:sz="8" w:space="0" w:color="000000"/>
              <w:right w:val="single" w:sz="8" w:space="0" w:color="auto"/>
            </w:tcBorders>
            <w:vAlign w:val="center"/>
            <w:hideMark/>
          </w:tcPr>
          <w:p w14:paraId="09B61C2B" w14:textId="77777777" w:rsidR="00BA071B" w:rsidRDefault="00BA071B">
            <w:pPr>
              <w:rPr>
                <w:b/>
                <w:bCs/>
                <w:color w:val="000000"/>
                <w:sz w:val="22"/>
                <w:szCs w:val="22"/>
              </w:rPr>
            </w:pPr>
          </w:p>
        </w:tc>
        <w:tc>
          <w:tcPr>
            <w:tcW w:w="1149" w:type="dxa"/>
            <w:tcBorders>
              <w:top w:val="nil"/>
              <w:left w:val="nil"/>
              <w:bottom w:val="single" w:sz="8" w:space="0" w:color="auto"/>
              <w:right w:val="single" w:sz="8" w:space="0" w:color="auto"/>
            </w:tcBorders>
            <w:shd w:val="clear" w:color="auto" w:fill="auto"/>
            <w:noWrap/>
            <w:vAlign w:val="center"/>
            <w:hideMark/>
          </w:tcPr>
          <w:p w14:paraId="2A635D8A" w14:textId="77777777" w:rsidR="00BA071B" w:rsidRDefault="00D17B80">
            <w:pPr>
              <w:rPr>
                <w:color w:val="000000"/>
                <w:sz w:val="22"/>
                <w:szCs w:val="22"/>
              </w:rPr>
            </w:pPr>
            <w:r>
              <w:rPr>
                <w:color w:val="000000"/>
                <w:sz w:val="22"/>
                <w:szCs w:val="22"/>
              </w:rPr>
              <w:t>SHS</w:t>
            </w:r>
          </w:p>
        </w:tc>
        <w:tc>
          <w:tcPr>
            <w:tcW w:w="6619" w:type="dxa"/>
            <w:tcBorders>
              <w:top w:val="nil"/>
              <w:left w:val="nil"/>
              <w:bottom w:val="single" w:sz="8" w:space="0" w:color="auto"/>
              <w:right w:val="single" w:sz="8" w:space="0" w:color="auto"/>
            </w:tcBorders>
            <w:shd w:val="clear" w:color="auto" w:fill="auto"/>
            <w:noWrap/>
            <w:vAlign w:val="center"/>
            <w:hideMark/>
          </w:tcPr>
          <w:p w14:paraId="410836AA" w14:textId="77777777" w:rsidR="00BA071B" w:rsidRDefault="00D17B80">
            <w:pPr>
              <w:rPr>
                <w:color w:val="000000"/>
                <w:sz w:val="22"/>
                <w:szCs w:val="22"/>
              </w:rPr>
            </w:pPr>
            <w:r>
              <w:rPr>
                <w:color w:val="000000"/>
                <w:sz w:val="22"/>
                <w:szCs w:val="22"/>
              </w:rPr>
              <w:t xml:space="preserve">SHS – High Pressure Sodium Street Lighting </w:t>
            </w:r>
          </w:p>
        </w:tc>
      </w:tr>
      <w:tr w:rsidR="000B155F" w14:paraId="21AF35D2" w14:textId="77777777">
        <w:trPr>
          <w:trHeight w:val="317"/>
        </w:trPr>
        <w:tc>
          <w:tcPr>
            <w:tcW w:w="2123" w:type="dxa"/>
            <w:vMerge/>
            <w:tcBorders>
              <w:top w:val="nil"/>
              <w:left w:val="single" w:sz="8" w:space="0" w:color="auto"/>
              <w:bottom w:val="single" w:sz="8" w:space="0" w:color="000000"/>
              <w:right w:val="single" w:sz="8" w:space="0" w:color="auto"/>
            </w:tcBorders>
            <w:vAlign w:val="center"/>
            <w:hideMark/>
          </w:tcPr>
          <w:p w14:paraId="0F975478" w14:textId="77777777" w:rsidR="00BA071B" w:rsidRDefault="00BA071B">
            <w:pPr>
              <w:rPr>
                <w:b/>
                <w:bCs/>
                <w:color w:val="000000"/>
                <w:sz w:val="22"/>
                <w:szCs w:val="22"/>
              </w:rPr>
            </w:pPr>
          </w:p>
        </w:tc>
        <w:tc>
          <w:tcPr>
            <w:tcW w:w="1149" w:type="dxa"/>
            <w:tcBorders>
              <w:top w:val="nil"/>
              <w:left w:val="nil"/>
              <w:bottom w:val="single" w:sz="8" w:space="0" w:color="auto"/>
              <w:right w:val="single" w:sz="8" w:space="0" w:color="auto"/>
            </w:tcBorders>
            <w:shd w:val="clear" w:color="auto" w:fill="auto"/>
            <w:noWrap/>
            <w:vAlign w:val="center"/>
            <w:hideMark/>
          </w:tcPr>
          <w:p w14:paraId="3B903492" w14:textId="77777777" w:rsidR="00BA071B" w:rsidRDefault="00D17B80">
            <w:pPr>
              <w:rPr>
                <w:color w:val="000000"/>
                <w:sz w:val="22"/>
                <w:szCs w:val="22"/>
              </w:rPr>
            </w:pPr>
            <w:r>
              <w:rPr>
                <w:color w:val="000000"/>
                <w:sz w:val="22"/>
                <w:szCs w:val="22"/>
              </w:rPr>
              <w:t>SE</w:t>
            </w:r>
          </w:p>
        </w:tc>
        <w:tc>
          <w:tcPr>
            <w:tcW w:w="6619" w:type="dxa"/>
            <w:tcBorders>
              <w:top w:val="nil"/>
              <w:left w:val="nil"/>
              <w:bottom w:val="single" w:sz="8" w:space="0" w:color="auto"/>
              <w:right w:val="single" w:sz="8" w:space="0" w:color="auto"/>
            </w:tcBorders>
            <w:shd w:val="clear" w:color="auto" w:fill="auto"/>
            <w:noWrap/>
            <w:vAlign w:val="center"/>
            <w:hideMark/>
          </w:tcPr>
          <w:p w14:paraId="263D88A0" w14:textId="77777777" w:rsidR="00BA071B" w:rsidRDefault="00D17B80">
            <w:pPr>
              <w:rPr>
                <w:color w:val="000000"/>
                <w:sz w:val="22"/>
                <w:szCs w:val="22"/>
              </w:rPr>
            </w:pPr>
            <w:r>
              <w:rPr>
                <w:color w:val="000000"/>
                <w:sz w:val="22"/>
                <w:szCs w:val="22"/>
              </w:rPr>
              <w:t xml:space="preserve">SE – Energy Only Street Lighting Service </w:t>
            </w:r>
          </w:p>
        </w:tc>
      </w:tr>
      <w:tr w:rsidR="000B155F" w14:paraId="245FA818" w14:textId="77777777">
        <w:trPr>
          <w:trHeight w:val="317"/>
        </w:trPr>
        <w:tc>
          <w:tcPr>
            <w:tcW w:w="2123" w:type="dxa"/>
            <w:vMerge/>
            <w:tcBorders>
              <w:top w:val="nil"/>
              <w:left w:val="single" w:sz="8" w:space="0" w:color="auto"/>
              <w:bottom w:val="single" w:sz="8" w:space="0" w:color="000000"/>
              <w:right w:val="single" w:sz="8" w:space="0" w:color="auto"/>
            </w:tcBorders>
            <w:vAlign w:val="center"/>
          </w:tcPr>
          <w:p w14:paraId="59B08F01" w14:textId="77777777" w:rsidR="00BA071B" w:rsidRDefault="00BA071B">
            <w:pPr>
              <w:rPr>
                <w:b/>
                <w:bCs/>
                <w:color w:val="000000"/>
                <w:sz w:val="22"/>
                <w:szCs w:val="22"/>
              </w:rPr>
            </w:pPr>
          </w:p>
        </w:tc>
        <w:tc>
          <w:tcPr>
            <w:tcW w:w="1149" w:type="dxa"/>
            <w:tcBorders>
              <w:top w:val="nil"/>
              <w:left w:val="nil"/>
              <w:bottom w:val="single" w:sz="8" w:space="0" w:color="auto"/>
              <w:right w:val="single" w:sz="8" w:space="0" w:color="auto"/>
            </w:tcBorders>
            <w:shd w:val="clear" w:color="auto" w:fill="auto"/>
            <w:noWrap/>
            <w:vAlign w:val="center"/>
          </w:tcPr>
          <w:p w14:paraId="656B11C5" w14:textId="77777777" w:rsidR="00BA071B" w:rsidRDefault="00D17B80">
            <w:pPr>
              <w:rPr>
                <w:color w:val="000000"/>
                <w:sz w:val="22"/>
                <w:szCs w:val="22"/>
              </w:rPr>
            </w:pPr>
            <w:r>
              <w:rPr>
                <w:color w:val="000000"/>
                <w:sz w:val="22"/>
                <w:szCs w:val="22"/>
              </w:rPr>
              <w:t>SLE</w:t>
            </w:r>
          </w:p>
        </w:tc>
        <w:tc>
          <w:tcPr>
            <w:tcW w:w="6619" w:type="dxa"/>
            <w:tcBorders>
              <w:top w:val="nil"/>
              <w:left w:val="nil"/>
              <w:bottom w:val="single" w:sz="8" w:space="0" w:color="auto"/>
              <w:right w:val="single" w:sz="8" w:space="0" w:color="auto"/>
            </w:tcBorders>
            <w:shd w:val="clear" w:color="auto" w:fill="auto"/>
            <w:noWrap/>
            <w:vAlign w:val="center"/>
          </w:tcPr>
          <w:p w14:paraId="5795AECC" w14:textId="77777777" w:rsidR="00BA071B" w:rsidRDefault="00D17B80">
            <w:pPr>
              <w:rPr>
                <w:color w:val="000000"/>
                <w:sz w:val="22"/>
                <w:szCs w:val="22"/>
              </w:rPr>
            </w:pPr>
            <w:r>
              <w:rPr>
                <w:color w:val="000000"/>
                <w:sz w:val="22"/>
                <w:szCs w:val="22"/>
              </w:rPr>
              <w:t>SLE – Light Emitting Diode (LED) Street Lighting Service</w:t>
            </w:r>
          </w:p>
        </w:tc>
      </w:tr>
      <w:tr w:rsidR="000B155F" w14:paraId="6BF54757" w14:textId="77777777">
        <w:trPr>
          <w:trHeight w:val="317"/>
        </w:trPr>
        <w:tc>
          <w:tcPr>
            <w:tcW w:w="2123" w:type="dxa"/>
            <w:vMerge/>
            <w:tcBorders>
              <w:top w:val="nil"/>
              <w:left w:val="single" w:sz="8" w:space="0" w:color="auto"/>
              <w:bottom w:val="single" w:sz="8" w:space="0" w:color="000000"/>
              <w:right w:val="single" w:sz="8" w:space="0" w:color="auto"/>
            </w:tcBorders>
            <w:vAlign w:val="center"/>
            <w:hideMark/>
          </w:tcPr>
          <w:p w14:paraId="04C06E59" w14:textId="77777777" w:rsidR="00BA071B" w:rsidRDefault="00BA071B">
            <w:pPr>
              <w:rPr>
                <w:b/>
                <w:bCs/>
                <w:color w:val="000000"/>
                <w:sz w:val="22"/>
                <w:szCs w:val="22"/>
              </w:rPr>
            </w:pPr>
          </w:p>
        </w:tc>
        <w:tc>
          <w:tcPr>
            <w:tcW w:w="1149" w:type="dxa"/>
            <w:tcBorders>
              <w:top w:val="nil"/>
              <w:left w:val="nil"/>
              <w:bottom w:val="single" w:sz="8" w:space="0" w:color="auto"/>
              <w:right w:val="single" w:sz="8" w:space="0" w:color="auto"/>
            </w:tcBorders>
            <w:shd w:val="clear" w:color="auto" w:fill="auto"/>
            <w:noWrap/>
            <w:vAlign w:val="center"/>
            <w:hideMark/>
          </w:tcPr>
          <w:p w14:paraId="655606B3" w14:textId="77777777" w:rsidR="00BA071B" w:rsidRDefault="00D17B80">
            <w:pPr>
              <w:rPr>
                <w:color w:val="000000"/>
                <w:sz w:val="22"/>
                <w:szCs w:val="22"/>
              </w:rPr>
            </w:pPr>
            <w:r>
              <w:rPr>
                <w:color w:val="000000"/>
                <w:sz w:val="22"/>
                <w:szCs w:val="22"/>
              </w:rPr>
              <w:t>TS</w:t>
            </w:r>
          </w:p>
        </w:tc>
        <w:tc>
          <w:tcPr>
            <w:tcW w:w="6619" w:type="dxa"/>
            <w:tcBorders>
              <w:top w:val="nil"/>
              <w:left w:val="nil"/>
              <w:bottom w:val="single" w:sz="8" w:space="0" w:color="auto"/>
              <w:right w:val="single" w:sz="8" w:space="0" w:color="auto"/>
            </w:tcBorders>
            <w:shd w:val="clear" w:color="auto" w:fill="auto"/>
            <w:noWrap/>
            <w:vAlign w:val="center"/>
            <w:hideMark/>
          </w:tcPr>
          <w:p w14:paraId="304BEDF9" w14:textId="77777777" w:rsidR="00BA071B" w:rsidRDefault="00D17B80">
            <w:pPr>
              <w:rPr>
                <w:color w:val="000000"/>
                <w:sz w:val="22"/>
                <w:szCs w:val="22"/>
              </w:rPr>
            </w:pPr>
            <w:r>
              <w:rPr>
                <w:color w:val="000000"/>
                <w:sz w:val="22"/>
                <w:szCs w:val="22"/>
              </w:rPr>
              <w:t xml:space="preserve">TS(R) – Municipal Traffic Signal Lighting Service </w:t>
            </w:r>
          </w:p>
        </w:tc>
      </w:tr>
      <w:tr w:rsidR="000B155F" w14:paraId="071141AD" w14:textId="77777777">
        <w:trPr>
          <w:trHeight w:val="317"/>
        </w:trPr>
        <w:tc>
          <w:tcPr>
            <w:tcW w:w="2123" w:type="dxa"/>
            <w:vMerge/>
            <w:tcBorders>
              <w:top w:val="nil"/>
              <w:left w:val="single" w:sz="8" w:space="0" w:color="auto"/>
              <w:bottom w:val="single" w:sz="8" w:space="0" w:color="000000"/>
              <w:right w:val="single" w:sz="8" w:space="0" w:color="auto"/>
            </w:tcBorders>
            <w:vAlign w:val="center"/>
            <w:hideMark/>
          </w:tcPr>
          <w:p w14:paraId="3BBEC54C" w14:textId="77777777" w:rsidR="00BA071B" w:rsidRDefault="00BA071B">
            <w:pPr>
              <w:rPr>
                <w:b/>
                <w:bCs/>
                <w:color w:val="000000"/>
                <w:sz w:val="22"/>
                <w:szCs w:val="22"/>
              </w:rPr>
            </w:pPr>
          </w:p>
        </w:tc>
        <w:tc>
          <w:tcPr>
            <w:tcW w:w="1149" w:type="dxa"/>
            <w:tcBorders>
              <w:top w:val="nil"/>
              <w:left w:val="nil"/>
              <w:bottom w:val="single" w:sz="8" w:space="0" w:color="auto"/>
              <w:right w:val="single" w:sz="8" w:space="0" w:color="auto"/>
            </w:tcBorders>
            <w:shd w:val="clear" w:color="auto" w:fill="auto"/>
            <w:noWrap/>
            <w:vAlign w:val="center"/>
            <w:hideMark/>
          </w:tcPr>
          <w:p w14:paraId="20A3D5A5" w14:textId="77777777" w:rsidR="00BA071B" w:rsidRDefault="00D17B80">
            <w:pPr>
              <w:rPr>
                <w:color w:val="000000"/>
                <w:sz w:val="22"/>
                <w:szCs w:val="22"/>
              </w:rPr>
            </w:pPr>
            <w:r>
              <w:rPr>
                <w:color w:val="000000"/>
                <w:sz w:val="22"/>
                <w:szCs w:val="22"/>
              </w:rPr>
              <w:t>SI-1</w:t>
            </w:r>
          </w:p>
        </w:tc>
        <w:tc>
          <w:tcPr>
            <w:tcW w:w="6619" w:type="dxa"/>
            <w:tcBorders>
              <w:top w:val="nil"/>
              <w:left w:val="nil"/>
              <w:bottom w:val="single" w:sz="8" w:space="0" w:color="auto"/>
              <w:right w:val="single" w:sz="8" w:space="0" w:color="auto"/>
            </w:tcBorders>
            <w:shd w:val="clear" w:color="auto" w:fill="auto"/>
            <w:noWrap/>
            <w:vAlign w:val="center"/>
            <w:hideMark/>
          </w:tcPr>
          <w:p w14:paraId="4847D709" w14:textId="77777777" w:rsidR="00BA071B" w:rsidRDefault="00D17B80">
            <w:pPr>
              <w:rPr>
                <w:color w:val="000000"/>
                <w:sz w:val="22"/>
                <w:szCs w:val="22"/>
              </w:rPr>
            </w:pPr>
            <w:r>
              <w:rPr>
                <w:color w:val="000000"/>
                <w:sz w:val="22"/>
                <w:szCs w:val="22"/>
              </w:rPr>
              <w:t xml:space="preserve">SI-1(R) – Municipal Street Lighting </w:t>
            </w:r>
          </w:p>
        </w:tc>
      </w:tr>
      <w:tr w:rsidR="000B155F" w14:paraId="0116B075" w14:textId="77777777">
        <w:trPr>
          <w:trHeight w:val="317"/>
        </w:trPr>
        <w:tc>
          <w:tcPr>
            <w:tcW w:w="2123" w:type="dxa"/>
            <w:vMerge/>
            <w:tcBorders>
              <w:top w:val="nil"/>
              <w:left w:val="single" w:sz="8" w:space="0" w:color="auto"/>
              <w:bottom w:val="single" w:sz="8" w:space="0" w:color="000000"/>
              <w:right w:val="single" w:sz="8" w:space="0" w:color="auto"/>
            </w:tcBorders>
            <w:vAlign w:val="center"/>
            <w:hideMark/>
          </w:tcPr>
          <w:p w14:paraId="3C112F50" w14:textId="77777777" w:rsidR="00BA071B" w:rsidRDefault="00BA071B">
            <w:pPr>
              <w:rPr>
                <w:b/>
                <w:bCs/>
                <w:color w:val="000000"/>
                <w:sz w:val="22"/>
                <w:szCs w:val="22"/>
              </w:rPr>
            </w:pPr>
          </w:p>
        </w:tc>
        <w:tc>
          <w:tcPr>
            <w:tcW w:w="1149" w:type="dxa"/>
            <w:tcBorders>
              <w:top w:val="nil"/>
              <w:left w:val="nil"/>
              <w:bottom w:val="single" w:sz="8" w:space="0" w:color="auto"/>
              <w:right w:val="single" w:sz="8" w:space="0" w:color="auto"/>
            </w:tcBorders>
            <w:shd w:val="clear" w:color="auto" w:fill="auto"/>
            <w:noWrap/>
            <w:vAlign w:val="center"/>
            <w:hideMark/>
          </w:tcPr>
          <w:p w14:paraId="7A50E301" w14:textId="77777777" w:rsidR="00BA071B" w:rsidRDefault="00D17B80">
            <w:pPr>
              <w:rPr>
                <w:color w:val="000000"/>
                <w:sz w:val="22"/>
                <w:szCs w:val="22"/>
              </w:rPr>
            </w:pPr>
            <w:r>
              <w:rPr>
                <w:color w:val="000000"/>
                <w:sz w:val="22"/>
                <w:szCs w:val="22"/>
              </w:rPr>
              <w:t>Standby</w:t>
            </w:r>
          </w:p>
        </w:tc>
        <w:tc>
          <w:tcPr>
            <w:tcW w:w="6619" w:type="dxa"/>
            <w:tcBorders>
              <w:top w:val="nil"/>
              <w:left w:val="nil"/>
              <w:bottom w:val="single" w:sz="8" w:space="0" w:color="auto"/>
              <w:right w:val="single" w:sz="8" w:space="0" w:color="auto"/>
            </w:tcBorders>
            <w:shd w:val="clear" w:color="auto" w:fill="auto"/>
            <w:noWrap/>
            <w:vAlign w:val="center"/>
            <w:hideMark/>
          </w:tcPr>
          <w:p w14:paraId="0C21A07E" w14:textId="77777777" w:rsidR="00BA071B" w:rsidRDefault="00D17B80">
            <w:pPr>
              <w:rPr>
                <w:color w:val="000000"/>
                <w:sz w:val="22"/>
                <w:szCs w:val="22"/>
              </w:rPr>
            </w:pPr>
            <w:r>
              <w:rPr>
                <w:color w:val="000000"/>
                <w:sz w:val="22"/>
                <w:szCs w:val="22"/>
              </w:rPr>
              <w:t>Rule 6A – Standby Service for Qualifying Facilities applicable to customers in the above listed rate schedules.</w:t>
            </w:r>
          </w:p>
        </w:tc>
      </w:tr>
    </w:tbl>
    <w:p w14:paraId="5E7C3232" w14:textId="77777777" w:rsidR="00BA071B" w:rsidRDefault="00BA071B">
      <w:pPr>
        <w:pStyle w:val="StyleOutlinenumbered"/>
        <w:numPr>
          <w:ilvl w:val="0"/>
          <w:numId w:val="0"/>
        </w:numPr>
      </w:pPr>
    </w:p>
    <w:p w14:paraId="5D9EA31F" w14:textId="77777777" w:rsidR="00BA071B" w:rsidRDefault="00D17B80">
      <w:pPr>
        <w:pStyle w:val="StyleOutlinenumbered"/>
        <w:numPr>
          <w:ilvl w:val="1"/>
          <w:numId w:val="5"/>
        </w:numPr>
        <w:ind w:hanging="564"/>
      </w:pPr>
      <w:r>
        <w:t>Customers participating in the SOP will receive a fixed rate for a twelve-month period that is equal to a 7% discount off the Price-to-Compare (“PTC” or “Default Service”) in effect at the time the customer enrolls in the SOP.</w:t>
      </w:r>
    </w:p>
    <w:p w14:paraId="29E4C457" w14:textId="77777777" w:rsidR="00BA071B" w:rsidRDefault="00BA071B">
      <w:pPr>
        <w:pStyle w:val="StyleOutlinenumbered"/>
        <w:numPr>
          <w:ilvl w:val="0"/>
          <w:numId w:val="0"/>
        </w:numPr>
        <w:ind w:left="1284"/>
      </w:pPr>
    </w:p>
    <w:p w14:paraId="484CFC8C" w14:textId="77777777" w:rsidR="00BA071B" w:rsidRDefault="00D17B80">
      <w:pPr>
        <w:pStyle w:val="StyleOutlinenumbered"/>
        <w:numPr>
          <w:ilvl w:val="1"/>
          <w:numId w:val="5"/>
        </w:numPr>
        <w:ind w:hanging="564"/>
      </w:pPr>
      <w:r>
        <w:t xml:space="preserve">A participating EGS, subject to the qualification requirements discussed in Article 4, will provide retail supply for eligible Residential and/or Small C&amp;I customers who elect to participate in the Program and who are successfully enrolled into the Program as discussed in Article 5.  Any Participating Customer may return to Default Service or choose another EGS in accordance with the Company’s standard switching requirements, without penalty.  </w:t>
      </w:r>
    </w:p>
    <w:p w14:paraId="4C815083" w14:textId="77777777" w:rsidR="00BA071B" w:rsidRDefault="00BA071B">
      <w:pPr>
        <w:pStyle w:val="StyleOutlinenumbered"/>
        <w:numPr>
          <w:ilvl w:val="0"/>
          <w:numId w:val="0"/>
        </w:numPr>
        <w:ind w:left="1284"/>
      </w:pPr>
    </w:p>
    <w:p w14:paraId="17FAA0A3" w14:textId="77777777" w:rsidR="00BA071B" w:rsidRDefault="00D17B80">
      <w:pPr>
        <w:pStyle w:val="StyleOutlinenumbered"/>
        <w:numPr>
          <w:ilvl w:val="1"/>
          <w:numId w:val="5"/>
        </w:numPr>
        <w:ind w:hanging="564"/>
      </w:pPr>
      <w:r>
        <w:t xml:space="preserve">EGSs interested in participating in the Program must initially meet Pre-Qualification Requirements to participate as provided in Section 4.2. </w:t>
      </w:r>
    </w:p>
    <w:p w14:paraId="04F1480A" w14:textId="77777777" w:rsidR="00BA071B" w:rsidRDefault="00BA071B">
      <w:pPr>
        <w:pStyle w:val="ListParagraph"/>
      </w:pPr>
    </w:p>
    <w:p w14:paraId="37654B4D" w14:textId="77777777" w:rsidR="00BA071B" w:rsidRDefault="00D17B80">
      <w:pPr>
        <w:pStyle w:val="StyleOutlinenumbered"/>
        <w:numPr>
          <w:ilvl w:val="1"/>
          <w:numId w:val="5"/>
        </w:numPr>
        <w:ind w:hanging="564"/>
      </w:pPr>
      <w:r>
        <w:t xml:space="preserve">Once all Pre-Qualification Requirements are met, an EGS must meet the SOP Period Qualification Requirements in order to be an EGS Participant in any SOP Period (hereinafter defined).  Section 4.3 details the Qualification requirements.  </w:t>
      </w:r>
    </w:p>
    <w:p w14:paraId="44068E22" w14:textId="77777777" w:rsidR="00BA071B" w:rsidRDefault="00BA071B">
      <w:pPr>
        <w:pStyle w:val="StyleOutlinenumbered"/>
        <w:numPr>
          <w:ilvl w:val="0"/>
          <w:numId w:val="0"/>
        </w:numPr>
      </w:pPr>
    </w:p>
    <w:p w14:paraId="4A877AEE" w14:textId="77777777" w:rsidR="00BA071B" w:rsidRDefault="00BA071B">
      <w:pPr>
        <w:pStyle w:val="ListParagraph"/>
      </w:pPr>
    </w:p>
    <w:p w14:paraId="4A83C85D" w14:textId="77777777" w:rsidR="00BA071B" w:rsidRDefault="00D17B80">
      <w:pPr>
        <w:pStyle w:val="StyleOutlinenumbered"/>
        <w:numPr>
          <w:ilvl w:val="1"/>
          <w:numId w:val="5"/>
        </w:numPr>
        <w:ind w:hanging="564"/>
      </w:pPr>
      <w:r>
        <w:t>If during any SOP Period there are no EGSs meeting the Pre-Qualification Requirements to participate in the Program, or if no pre-qualified EGSs have met the SOP Period Qualification Requirements, the program will not be offered for that SOP Period.  There must be at least one (1) qualified EGS with a submitted rate code for either the Residential or Small C&amp;I Program.  If a rate code is not submitted for either customer class, then that class (without a rate code) will not have a Program offering for that SOP Period.</w:t>
      </w:r>
    </w:p>
    <w:p w14:paraId="3CAA71B3" w14:textId="77777777" w:rsidR="00BA071B" w:rsidRDefault="00BA071B">
      <w:pPr>
        <w:pStyle w:val="ListParagraph"/>
      </w:pPr>
    </w:p>
    <w:p w14:paraId="71D8B8AA" w14:textId="77777777" w:rsidR="00BA071B" w:rsidRDefault="00D17B80">
      <w:pPr>
        <w:pStyle w:val="StyleOutlinenumbered"/>
        <w:numPr>
          <w:ilvl w:val="1"/>
          <w:numId w:val="5"/>
        </w:numPr>
        <w:ind w:hanging="564"/>
      </w:pPr>
      <w:r>
        <w:t xml:space="preserve">Each Participating EGS must pay its share of the Program costs as set forth in Article 7.  </w:t>
      </w:r>
    </w:p>
    <w:p w14:paraId="22314D64" w14:textId="77777777" w:rsidR="00BA071B" w:rsidRDefault="00BA071B">
      <w:pPr>
        <w:pStyle w:val="ListParagraph"/>
      </w:pPr>
    </w:p>
    <w:p w14:paraId="5872C414" w14:textId="77777777" w:rsidR="00BA071B" w:rsidRDefault="00D17B80">
      <w:pPr>
        <w:pStyle w:val="StyleOutlinenumbered"/>
        <w:numPr>
          <w:ilvl w:val="1"/>
          <w:numId w:val="5"/>
        </w:numPr>
        <w:ind w:hanging="564"/>
      </w:pPr>
      <w:r>
        <w:t>EGSs are required to independently maintain their own data and information for all customers enrolled in the Program.  The Company is not responsible for the reporting of any information on the Program for Participating EGSs.  See Article 8 for more information.</w:t>
      </w:r>
    </w:p>
    <w:p w14:paraId="45D9096F" w14:textId="77777777" w:rsidR="00BA071B" w:rsidRDefault="00BA071B">
      <w:pPr>
        <w:pStyle w:val="StyleOutlinenumbered"/>
        <w:numPr>
          <w:ilvl w:val="0"/>
          <w:numId w:val="0"/>
        </w:numPr>
      </w:pPr>
    </w:p>
    <w:p w14:paraId="324BBCD2" w14:textId="77777777" w:rsidR="00BA071B" w:rsidRDefault="00D17B80">
      <w:pPr>
        <w:pStyle w:val="StyleOutlinenumbered"/>
        <w:numPr>
          <w:ilvl w:val="1"/>
          <w:numId w:val="5"/>
        </w:numPr>
        <w:ind w:hanging="564"/>
        <w:rPr>
          <w:b/>
        </w:rPr>
      </w:pPr>
      <w:r>
        <w:rPr>
          <w:b/>
        </w:rPr>
        <w:t xml:space="preserve">Definitions: </w:t>
      </w:r>
      <w:r>
        <w:t>In addition to terms defined elsewhere in this SOP Rules, the following definitions shall apply:</w:t>
      </w:r>
    </w:p>
    <w:p w14:paraId="1E97816F" w14:textId="77777777" w:rsidR="00BA071B" w:rsidRDefault="00BA071B">
      <w:pPr>
        <w:ind w:left="1260"/>
      </w:pPr>
    </w:p>
    <w:p w14:paraId="354D3B31" w14:textId="77777777" w:rsidR="00BA071B" w:rsidRDefault="00D17B80">
      <w:pPr>
        <w:ind w:left="1260"/>
      </w:pPr>
      <w:r>
        <w:t>“</w:t>
      </w:r>
      <w:r>
        <w:rPr>
          <w:u w:val="single"/>
        </w:rPr>
        <w:t>CAP customers</w:t>
      </w:r>
      <w:r>
        <w:t>” means a residential customer enrolled in PPL Electric’s Customer Assistance Program, OnTrack.</w:t>
      </w:r>
    </w:p>
    <w:p w14:paraId="6EE4A5A8" w14:textId="77777777" w:rsidR="00BA071B" w:rsidRDefault="00BA071B">
      <w:pPr>
        <w:ind w:left="1260"/>
      </w:pPr>
    </w:p>
    <w:p w14:paraId="54B41C96" w14:textId="77777777" w:rsidR="00BA071B" w:rsidRDefault="00D17B80">
      <w:pPr>
        <w:ind w:left="1260"/>
      </w:pPr>
      <w:r>
        <w:lastRenderedPageBreak/>
        <w:t>“</w:t>
      </w:r>
      <w:r>
        <w:rPr>
          <w:u w:val="single"/>
        </w:rPr>
        <w:t>EDI</w:t>
      </w:r>
      <w:r>
        <w:t>” – Electronic Data Interchange, which is a standardized format for the electronic transfer of data between entities.</w:t>
      </w:r>
    </w:p>
    <w:p w14:paraId="1CB97864" w14:textId="77777777" w:rsidR="00BA071B" w:rsidRDefault="00BA071B">
      <w:pPr>
        <w:ind w:left="1260"/>
      </w:pPr>
    </w:p>
    <w:p w14:paraId="124C5C43" w14:textId="77777777" w:rsidR="00BA071B" w:rsidRDefault="00D17B80">
      <w:pPr>
        <w:ind w:left="1260"/>
      </w:pPr>
      <w:r>
        <w:t>“</w:t>
      </w:r>
      <w:r>
        <w:rPr>
          <w:u w:val="single"/>
        </w:rPr>
        <w:t>Electric Generation Supplier</w:t>
      </w:r>
      <w:r>
        <w:t>” or “</w:t>
      </w:r>
      <w:r>
        <w:rPr>
          <w:u w:val="single"/>
        </w:rPr>
        <w:t>EGS</w:t>
      </w:r>
      <w:r>
        <w:t>” is defined as a retail generation supplier.</w:t>
      </w:r>
    </w:p>
    <w:p w14:paraId="167C3834" w14:textId="77777777" w:rsidR="00BA071B" w:rsidRDefault="00BA071B">
      <w:pPr>
        <w:ind w:left="1260"/>
      </w:pPr>
    </w:p>
    <w:p w14:paraId="3684EFC5" w14:textId="77777777" w:rsidR="00BA071B" w:rsidRDefault="00D17B80">
      <w:pPr>
        <w:ind w:left="1260"/>
      </w:pPr>
      <w:r>
        <w:t>“</w:t>
      </w:r>
      <w:r>
        <w:rPr>
          <w:u w:val="single"/>
        </w:rPr>
        <w:t>Eligible Customers</w:t>
      </w:r>
      <w:r>
        <w:t xml:space="preserve">” include any default service Residential customer, with the exception of CAP customers, or Small Commercial &amp; Industrial customer less than 25kW who contacts PPL Electric’s Call Center, other than for termination or emergency calls.  This also includes any eligible shopping customer that actively requests participation in the Program. See Section 1.2 for a list of eligible customer rate classes by customer group.  </w:t>
      </w:r>
    </w:p>
    <w:p w14:paraId="24EF19FB" w14:textId="77777777" w:rsidR="00BA071B" w:rsidRDefault="00BA071B">
      <w:pPr>
        <w:ind w:left="1260"/>
      </w:pPr>
    </w:p>
    <w:p w14:paraId="03C47B9E" w14:textId="77777777" w:rsidR="00BA071B" w:rsidRDefault="00D17B80">
      <w:pPr>
        <w:ind w:left="1260"/>
      </w:pPr>
      <w:r>
        <w:t>“</w:t>
      </w:r>
      <w:r>
        <w:rPr>
          <w:u w:val="single"/>
        </w:rPr>
        <w:t>Participating EGS</w:t>
      </w:r>
      <w:r>
        <w:t>” or “</w:t>
      </w:r>
      <w:r>
        <w:rPr>
          <w:u w:val="single"/>
        </w:rPr>
        <w:t>EGS Participant</w:t>
      </w:r>
      <w:r>
        <w:t>” is an EGS that has successfully met Pre-Qualification and SOP Period Requirements.</w:t>
      </w:r>
    </w:p>
    <w:p w14:paraId="23C7102D" w14:textId="77777777" w:rsidR="00BA071B" w:rsidRDefault="00BA071B">
      <w:pPr>
        <w:ind w:left="1260"/>
      </w:pPr>
    </w:p>
    <w:p w14:paraId="26C45588" w14:textId="77777777" w:rsidR="00BA071B" w:rsidRDefault="00D17B80">
      <w:pPr>
        <w:ind w:left="1260"/>
      </w:pPr>
      <w:r>
        <w:rPr>
          <w:b/>
        </w:rPr>
        <w:t>“</w:t>
      </w:r>
      <w:r>
        <w:rPr>
          <w:u w:val="single"/>
        </w:rPr>
        <w:t>Participating Customer</w:t>
      </w:r>
      <w:r>
        <w:rPr>
          <w:b/>
        </w:rPr>
        <w:t>”</w:t>
      </w:r>
      <w:r>
        <w:t xml:space="preserve"> means any </w:t>
      </w:r>
      <w:r w:rsidR="00F16A8A">
        <w:t xml:space="preserve">eligible </w:t>
      </w:r>
      <w:r>
        <w:t>Residential customer or Small Commercial and Industrial customer under 25kW in PPL Electric’s service territory that affirmatively elects to participate and successfully enrolls in the Program.</w:t>
      </w:r>
    </w:p>
    <w:p w14:paraId="55120B4F" w14:textId="77777777" w:rsidR="00BA071B" w:rsidRDefault="00BA071B">
      <w:pPr>
        <w:ind w:left="1260"/>
        <w:rPr>
          <w:b/>
        </w:rPr>
      </w:pPr>
    </w:p>
    <w:p w14:paraId="3048CBCA" w14:textId="77777777" w:rsidR="00BA071B" w:rsidRDefault="00D17B80">
      <w:pPr>
        <w:ind w:left="1260"/>
      </w:pPr>
      <w:r>
        <w:rPr>
          <w:b/>
        </w:rPr>
        <w:t>“</w:t>
      </w:r>
      <w:r>
        <w:rPr>
          <w:u w:val="single"/>
        </w:rPr>
        <w:t>Program Costs</w:t>
      </w:r>
      <w:r>
        <w:rPr>
          <w:b/>
        </w:rPr>
        <w:t>”</w:t>
      </w:r>
      <w:r>
        <w:t xml:space="preserve"> means the costs that PPL Electric will incur to administer and communicate the Program to Eligible Customers.</w:t>
      </w:r>
    </w:p>
    <w:p w14:paraId="73BEC20C" w14:textId="77777777" w:rsidR="00BA071B" w:rsidRDefault="00BA071B">
      <w:pPr>
        <w:ind w:left="1260"/>
      </w:pPr>
    </w:p>
    <w:p w14:paraId="78273301" w14:textId="77777777" w:rsidR="00BA071B" w:rsidRDefault="00D17B80">
      <w:pPr>
        <w:ind w:left="1260"/>
      </w:pPr>
      <w:r>
        <w:t>“</w:t>
      </w:r>
      <w:r>
        <w:rPr>
          <w:u w:val="single"/>
        </w:rPr>
        <w:t>Program Term</w:t>
      </w:r>
      <w:r>
        <w:t>” means the period beginning on June 1, 2021 through May 31, 2025.</w:t>
      </w:r>
    </w:p>
    <w:p w14:paraId="12DC95E4" w14:textId="77777777" w:rsidR="00BA071B" w:rsidRDefault="00BA071B">
      <w:pPr>
        <w:ind w:left="1260"/>
      </w:pPr>
    </w:p>
    <w:p w14:paraId="336F0E4A" w14:textId="77777777" w:rsidR="00BA071B" w:rsidRDefault="00D17B80">
      <w:pPr>
        <w:ind w:left="1260"/>
      </w:pPr>
      <w:r>
        <w:t>“</w:t>
      </w:r>
      <w:r>
        <w:rPr>
          <w:u w:val="single"/>
        </w:rPr>
        <w:t>Price-to-Compare Period</w:t>
      </w:r>
      <w:r>
        <w:t>” or “</w:t>
      </w:r>
      <w:r>
        <w:rPr>
          <w:u w:val="single"/>
        </w:rPr>
        <w:t>SOP Period</w:t>
      </w:r>
      <w:r>
        <w:t xml:space="preserve">” means the six (6) calendar month periods as follows:  June – November and December –March.  </w:t>
      </w:r>
    </w:p>
    <w:p w14:paraId="46840B24" w14:textId="77777777" w:rsidR="00BA071B" w:rsidRDefault="00BA071B">
      <w:pPr>
        <w:ind w:left="1260"/>
      </w:pPr>
    </w:p>
    <w:p w14:paraId="52AC513F" w14:textId="77777777" w:rsidR="00BA071B" w:rsidRDefault="00D17B80">
      <w:pPr>
        <w:ind w:left="1260"/>
      </w:pPr>
      <w:r>
        <w:t>“</w:t>
      </w:r>
      <w:r>
        <w:rPr>
          <w:u w:val="single"/>
        </w:rPr>
        <w:t>Pre-Qualification Requirements</w:t>
      </w:r>
      <w:r>
        <w:t>” are those requirements that any interested EGS must complete to initially qualify for the Program, as set forth in Article 4 of this SOP Rules document.</w:t>
      </w:r>
    </w:p>
    <w:p w14:paraId="37B5D0AD" w14:textId="77777777" w:rsidR="00BA071B" w:rsidRDefault="00BA071B">
      <w:pPr>
        <w:ind w:left="1260"/>
      </w:pPr>
    </w:p>
    <w:p w14:paraId="5513612D" w14:textId="77777777" w:rsidR="00BA071B" w:rsidRDefault="00D17B80">
      <w:pPr>
        <w:ind w:left="1260"/>
      </w:pPr>
      <w:r>
        <w:t>“</w:t>
      </w:r>
      <w:r>
        <w:rPr>
          <w:u w:val="single"/>
        </w:rPr>
        <w:t>SOP Period Qualification Requirements</w:t>
      </w:r>
      <w:r>
        <w:t>” are those SOP Period requirements, corresponding to the Price-to-Compare Period, that an EGS must complete once meeting all Pre-Qualification Requirements, as set forth in Article 4 of this SOP Rules document.</w:t>
      </w:r>
    </w:p>
    <w:p w14:paraId="6383DD80" w14:textId="77777777" w:rsidR="00BA071B" w:rsidRDefault="00BA071B">
      <w:pPr>
        <w:ind w:left="1260"/>
      </w:pPr>
    </w:p>
    <w:p w14:paraId="54D575C1" w14:textId="77777777" w:rsidR="00BA071B" w:rsidRDefault="00D17B80">
      <w:pPr>
        <w:ind w:left="1260"/>
      </w:pPr>
      <w:r>
        <w:t>“</w:t>
      </w:r>
      <w:r>
        <w:rPr>
          <w:u w:val="single"/>
        </w:rPr>
        <w:t>Rate Ready Billing</w:t>
      </w:r>
      <w:r>
        <w:t>” billing scenario in which the EGS provides the Company its billing rates so that the Company can complete the billing calculation and bill delivery.</w:t>
      </w:r>
    </w:p>
    <w:p w14:paraId="1C13496D" w14:textId="77777777" w:rsidR="00BA071B" w:rsidRDefault="00BA071B">
      <w:pPr>
        <w:ind w:left="1260"/>
      </w:pPr>
    </w:p>
    <w:p w14:paraId="2AF4AC0C" w14:textId="77777777" w:rsidR="00BA071B" w:rsidRDefault="00D17B80">
      <w:r>
        <w:br w:type="page"/>
      </w:r>
    </w:p>
    <w:p w14:paraId="07790CD9" w14:textId="77777777" w:rsidR="00BA071B" w:rsidRDefault="00BA071B">
      <w:pPr>
        <w:ind w:left="1260"/>
      </w:pPr>
    </w:p>
    <w:p w14:paraId="49EE950F" w14:textId="77777777" w:rsidR="00BA071B" w:rsidRDefault="00D17B80">
      <w:pPr>
        <w:pStyle w:val="Heading1"/>
        <w:rPr>
          <w:b/>
          <w:bCs/>
          <w:sz w:val="28"/>
        </w:rPr>
      </w:pPr>
      <w:bookmarkStart w:id="10" w:name="_Toc323747438"/>
      <w:bookmarkStart w:id="11" w:name="_Toc324512242"/>
      <w:bookmarkStart w:id="12" w:name="_Toc349802704"/>
      <w:bookmarkStart w:id="13" w:name="_Toc350336537"/>
      <w:r>
        <w:rPr>
          <w:b/>
          <w:bCs/>
          <w:sz w:val="28"/>
        </w:rPr>
        <w:t xml:space="preserve">ARTICLE 2 </w:t>
      </w:r>
      <w:r>
        <w:rPr>
          <w:b/>
          <w:bCs/>
          <w:sz w:val="28"/>
        </w:rPr>
        <w:br/>
        <w:t>INFORMATION AND SCHEDULE</w:t>
      </w:r>
      <w:bookmarkEnd w:id="10"/>
      <w:bookmarkEnd w:id="11"/>
      <w:bookmarkEnd w:id="12"/>
      <w:bookmarkEnd w:id="13"/>
    </w:p>
    <w:p w14:paraId="60D92B13" w14:textId="77777777" w:rsidR="00BA071B" w:rsidRDefault="00BA071B">
      <w:pPr>
        <w:pStyle w:val="StyleOutlinenumbered"/>
        <w:numPr>
          <w:ilvl w:val="0"/>
          <w:numId w:val="0"/>
        </w:numPr>
        <w:ind w:left="864"/>
      </w:pPr>
    </w:p>
    <w:p w14:paraId="065674D0" w14:textId="77777777" w:rsidR="00BA071B" w:rsidRDefault="00D17B80">
      <w:pPr>
        <w:numPr>
          <w:ilvl w:val="0"/>
          <w:numId w:val="5"/>
        </w:numPr>
        <w:rPr>
          <w:b/>
        </w:rPr>
      </w:pPr>
      <w:r>
        <w:rPr>
          <w:b/>
        </w:rPr>
        <w:t>Information and Schedule</w:t>
      </w:r>
    </w:p>
    <w:p w14:paraId="3DCBFB2C" w14:textId="77777777" w:rsidR="00BA071B" w:rsidRDefault="00BA071B"/>
    <w:p w14:paraId="556F95E2" w14:textId="77777777" w:rsidR="00BA071B" w:rsidRDefault="00D17B80">
      <w:pPr>
        <w:numPr>
          <w:ilvl w:val="1"/>
          <w:numId w:val="5"/>
        </w:numPr>
      </w:pPr>
      <w:r>
        <w:t xml:space="preserve">PPL Electric will post information for this Program on the PPL Electric website on its General Supplier Information webpage: </w:t>
      </w:r>
      <w:r>
        <w:rPr>
          <w:u w:val="single"/>
        </w:rPr>
        <w:t>https://www.pplelectric.com/utility/about-us/for-generation-suppliers/general-supplier-reference-information/standard-offer-program.aspx</w:t>
      </w:r>
      <w:r>
        <w:t xml:space="preserve">. This website will serve as the main source of information for the Standard Offer Program.  Prospective EGS Participants are requested to use this website for current information about all aspects of this Program and to access all essential documents. </w:t>
      </w:r>
    </w:p>
    <w:p w14:paraId="34D5E335" w14:textId="77777777" w:rsidR="00BA071B" w:rsidRDefault="00BA071B">
      <w:pPr>
        <w:ind w:left="1284"/>
      </w:pPr>
    </w:p>
    <w:p w14:paraId="0C7A3582" w14:textId="77777777" w:rsidR="00BA071B" w:rsidRDefault="00D17B80">
      <w:pPr>
        <w:numPr>
          <w:ilvl w:val="1"/>
          <w:numId w:val="5"/>
        </w:numPr>
      </w:pPr>
      <w:r>
        <w:t xml:space="preserve">The Program will be offered by PPL Electric to all eligible non-shopping Residential customers and Small C&amp;I customers under 25kW starting in June 2021. The Program will be offered on a semi-annual basis based upon the SOP Period.  </w:t>
      </w:r>
    </w:p>
    <w:p w14:paraId="47637A1E" w14:textId="77777777" w:rsidR="00BA071B" w:rsidRDefault="00BA071B">
      <w:pPr>
        <w:rPr>
          <w:bCs/>
        </w:rPr>
      </w:pPr>
    </w:p>
    <w:p w14:paraId="4E50AC16" w14:textId="77777777" w:rsidR="00BA071B" w:rsidRDefault="00BA071B">
      <w:pPr>
        <w:rPr>
          <w:bCs/>
        </w:rPr>
      </w:pPr>
    </w:p>
    <w:p w14:paraId="07E6A402" w14:textId="77777777" w:rsidR="00BA071B" w:rsidRDefault="00D17B80">
      <w:pPr>
        <w:pStyle w:val="Heading1"/>
        <w:rPr>
          <w:b/>
          <w:bCs/>
          <w:sz w:val="28"/>
        </w:rPr>
      </w:pPr>
      <w:bookmarkStart w:id="14" w:name="_Toc350336538"/>
      <w:bookmarkStart w:id="15" w:name="_Toc323747439"/>
      <w:bookmarkStart w:id="16" w:name="_Toc324512243"/>
      <w:bookmarkStart w:id="17" w:name="_Toc349802705"/>
      <w:r>
        <w:rPr>
          <w:b/>
          <w:bCs/>
          <w:sz w:val="28"/>
        </w:rPr>
        <w:t xml:space="preserve">ARTICLE 3 </w:t>
      </w:r>
      <w:r>
        <w:rPr>
          <w:b/>
          <w:bCs/>
          <w:sz w:val="28"/>
        </w:rPr>
        <w:br/>
        <w:t>GENERAL REQUIREMENTS</w:t>
      </w:r>
      <w:bookmarkEnd w:id="14"/>
      <w:r>
        <w:rPr>
          <w:b/>
          <w:bCs/>
          <w:sz w:val="28"/>
        </w:rPr>
        <w:t xml:space="preserve"> </w:t>
      </w:r>
      <w:bookmarkEnd w:id="15"/>
      <w:bookmarkEnd w:id="16"/>
      <w:bookmarkEnd w:id="17"/>
    </w:p>
    <w:p w14:paraId="362E964D" w14:textId="77777777" w:rsidR="00BA071B" w:rsidRDefault="00BA071B"/>
    <w:p w14:paraId="3448DCF1" w14:textId="77777777" w:rsidR="00BA071B" w:rsidRDefault="00D17B80">
      <w:pPr>
        <w:numPr>
          <w:ilvl w:val="0"/>
          <w:numId w:val="5"/>
        </w:numPr>
        <w:rPr>
          <w:b/>
        </w:rPr>
      </w:pPr>
      <w:r>
        <w:rPr>
          <w:b/>
        </w:rPr>
        <w:t xml:space="preserve">General Requirements </w:t>
      </w:r>
    </w:p>
    <w:p w14:paraId="6A50E2A3" w14:textId="77777777" w:rsidR="00BA071B" w:rsidRDefault="00BA071B"/>
    <w:p w14:paraId="3C13864B" w14:textId="77777777" w:rsidR="00BA071B" w:rsidRDefault="00D17B80">
      <w:pPr>
        <w:numPr>
          <w:ilvl w:val="1"/>
          <w:numId w:val="5"/>
        </w:numPr>
        <w:ind w:hanging="564"/>
        <w:rPr>
          <w:bCs/>
        </w:rPr>
      </w:pPr>
      <w:r>
        <w:t>Participating EGSs must adhere to the terms and conditions of the Program and fulfill all requirements of this SOP Rules document and Standard Offer Program Binding Participation Form.  In the event an EGS fails to adhere to the Program terms and conditions the EGS will not be allowed to participate in the Program.</w:t>
      </w:r>
    </w:p>
    <w:p w14:paraId="5413C77B" w14:textId="77777777" w:rsidR="00BA071B" w:rsidRDefault="00BA071B"/>
    <w:p w14:paraId="15D8AA87" w14:textId="77777777" w:rsidR="00BA071B" w:rsidRDefault="00D17B80">
      <w:pPr>
        <w:numPr>
          <w:ilvl w:val="1"/>
          <w:numId w:val="5"/>
        </w:numPr>
        <w:ind w:hanging="564"/>
        <w:rPr>
          <w:bCs/>
        </w:rPr>
      </w:pPr>
      <w:r>
        <w:t>The submission of the Standard Offer Program Binding Participation Form to the Company constitutes the EGS’s acknowledgement and acceptance of all the terms and conditions of this SOP Rules document.</w:t>
      </w:r>
    </w:p>
    <w:p w14:paraId="3412C5A6" w14:textId="77777777" w:rsidR="00BA071B" w:rsidRDefault="00BA071B">
      <w:pPr>
        <w:rPr>
          <w:bCs/>
        </w:rPr>
      </w:pPr>
    </w:p>
    <w:p w14:paraId="4F354B85" w14:textId="77777777" w:rsidR="00BA071B" w:rsidRDefault="00D17B80">
      <w:pPr>
        <w:numPr>
          <w:ilvl w:val="1"/>
          <w:numId w:val="5"/>
        </w:numPr>
        <w:ind w:hanging="564"/>
      </w:pPr>
      <w:r>
        <w:t>All Representations in this Program and documents executed must be done by an individual authorized to 1) make contractual commitments on behalf of the EGS to provide retail customer generation supply and 2) to financially bind the Participating EGS.</w:t>
      </w:r>
    </w:p>
    <w:p w14:paraId="4A9EFB77" w14:textId="77777777" w:rsidR="00BA071B" w:rsidRDefault="00BA071B">
      <w:pPr>
        <w:ind w:left="1284"/>
      </w:pPr>
    </w:p>
    <w:p w14:paraId="5021EF61" w14:textId="77777777" w:rsidR="00BA071B" w:rsidRDefault="00D17B80">
      <w:pPr>
        <w:numPr>
          <w:ilvl w:val="1"/>
          <w:numId w:val="5"/>
        </w:numPr>
        <w:ind w:hanging="564"/>
      </w:pPr>
      <w:r>
        <w:t xml:space="preserve">Participation in this Program shall constitute an Agreement by EGS to abide by the terms and conditions of the Program as set forth herein.  In the event of a material default by an EGS in any of its obligations under this Program, PPL Electric shall have the right to terminate the EGS’s participation in the Program upon providing 10 business day written notice of the default to the EGS, directed to the contact listed in Exhibit 2.  The EGS shall be permitted to continue participating in the Program if it cures the default during the 10 business day notice period.  PPL Electric also may seek whatever remedies, including but not limited to reasonable </w:t>
      </w:r>
      <w:r>
        <w:lastRenderedPageBreak/>
        <w:t>attorneys’ fees, to which it may be entitled before the Commission, or a court of competent jurisdiction.  The venue for any court action shall be in the Court of Common Pleas for Lehigh County or in the District Court for the Eastern District of Pennsylvania in Allentown.</w:t>
      </w:r>
    </w:p>
    <w:p w14:paraId="40E92C56" w14:textId="77777777" w:rsidR="00BA071B" w:rsidRDefault="00BA071B">
      <w:pPr>
        <w:ind w:left="1284"/>
      </w:pPr>
    </w:p>
    <w:p w14:paraId="4C56BFC0" w14:textId="77777777" w:rsidR="00BA071B" w:rsidRDefault="00BA071B"/>
    <w:p w14:paraId="370700CB" w14:textId="77777777" w:rsidR="00BA071B" w:rsidRDefault="00D17B80">
      <w:pPr>
        <w:pStyle w:val="Heading1"/>
        <w:rPr>
          <w:b/>
          <w:bCs/>
          <w:sz w:val="28"/>
        </w:rPr>
      </w:pPr>
      <w:bookmarkStart w:id="18" w:name="_Toc323747440"/>
      <w:bookmarkStart w:id="19" w:name="_Toc324512244"/>
      <w:bookmarkStart w:id="20" w:name="_Toc349802706"/>
      <w:bookmarkStart w:id="21" w:name="_Toc350336539"/>
      <w:r>
        <w:rPr>
          <w:b/>
          <w:bCs/>
          <w:sz w:val="28"/>
        </w:rPr>
        <w:t xml:space="preserve">ARTICLE 4 </w:t>
      </w:r>
      <w:r>
        <w:rPr>
          <w:b/>
          <w:bCs/>
          <w:sz w:val="28"/>
        </w:rPr>
        <w:br/>
      </w:r>
      <w:bookmarkEnd w:id="18"/>
      <w:bookmarkEnd w:id="19"/>
      <w:r>
        <w:rPr>
          <w:b/>
          <w:bCs/>
          <w:sz w:val="28"/>
        </w:rPr>
        <w:t>EGS Qualification Requirements</w:t>
      </w:r>
      <w:bookmarkEnd w:id="20"/>
      <w:bookmarkEnd w:id="21"/>
    </w:p>
    <w:p w14:paraId="22B62FA2" w14:textId="77777777" w:rsidR="00BA071B" w:rsidRDefault="00BA071B"/>
    <w:p w14:paraId="424E230F" w14:textId="77777777" w:rsidR="00BA071B" w:rsidRDefault="00D17B80">
      <w:pPr>
        <w:numPr>
          <w:ilvl w:val="0"/>
          <w:numId w:val="5"/>
        </w:numPr>
        <w:rPr>
          <w:b/>
        </w:rPr>
      </w:pPr>
      <w:r>
        <w:rPr>
          <w:b/>
        </w:rPr>
        <w:t>EGS Qualification Requirements</w:t>
      </w:r>
    </w:p>
    <w:p w14:paraId="4AA3BBAF" w14:textId="77777777" w:rsidR="00BA071B" w:rsidRDefault="00BA071B"/>
    <w:p w14:paraId="0663FC20" w14:textId="77777777" w:rsidR="00BA071B" w:rsidRDefault="00D17B80">
      <w:pPr>
        <w:numPr>
          <w:ilvl w:val="1"/>
          <w:numId w:val="5"/>
        </w:numPr>
        <w:tabs>
          <w:tab w:val="clear" w:pos="1284"/>
        </w:tabs>
        <w:ind w:left="1260" w:hanging="540"/>
      </w:pPr>
      <w:r>
        <w:rPr>
          <w:rFonts w:ascii="TimesNewRoman" w:hAnsi="TimesNewRoman" w:cs="TimesNewRoman"/>
        </w:rPr>
        <w:t xml:space="preserve">The EGS Qualification requirements are broken down into two components: 1) Pre-Qualifications (Section 4.2) and 2) SOP Period Qualifications (Section 4.3). </w:t>
      </w:r>
    </w:p>
    <w:p w14:paraId="44CBF90B" w14:textId="77777777" w:rsidR="00BA071B" w:rsidRDefault="00BA071B">
      <w:pPr>
        <w:ind w:left="720"/>
      </w:pPr>
    </w:p>
    <w:p w14:paraId="601DF548" w14:textId="77777777" w:rsidR="00BA071B" w:rsidRDefault="00D17B80">
      <w:pPr>
        <w:numPr>
          <w:ilvl w:val="1"/>
          <w:numId w:val="5"/>
        </w:numPr>
        <w:tabs>
          <w:tab w:val="clear" w:pos="1284"/>
        </w:tabs>
        <w:ind w:left="1260" w:hanging="540"/>
      </w:pPr>
      <w:r>
        <w:rPr>
          <w:rFonts w:ascii="TimesNewRoman" w:hAnsi="TimesNewRoman" w:cs="TimesNewRoman"/>
        </w:rPr>
        <w:t>Pre-Qualification Requirements:</w:t>
      </w:r>
    </w:p>
    <w:p w14:paraId="7857C6A3" w14:textId="77777777" w:rsidR="00BA071B" w:rsidRDefault="00BA071B"/>
    <w:p w14:paraId="5A6C423D" w14:textId="77777777" w:rsidR="00BA071B" w:rsidRDefault="00D17B80">
      <w:pPr>
        <w:numPr>
          <w:ilvl w:val="2"/>
          <w:numId w:val="5"/>
        </w:numPr>
      </w:pPr>
      <w:r>
        <w:rPr>
          <w:rFonts w:ascii="TimesNewRoman" w:hAnsi="TimesNewRoman" w:cs="TimesNewRoman"/>
        </w:rPr>
        <w:t>All EGSs must complete a one-time, pre-qualification process to allow the EGS access and future participation in the Program.  Pre-qualification is composed of two primary steps: 1) Certification requirements (Section 4.2.2) and 2) Document completion and execution (Section 4.2.3).</w:t>
      </w:r>
    </w:p>
    <w:p w14:paraId="06361513" w14:textId="77777777" w:rsidR="00BA071B" w:rsidRDefault="00BA071B">
      <w:pPr>
        <w:ind w:left="1728"/>
      </w:pPr>
    </w:p>
    <w:p w14:paraId="63D3377E" w14:textId="77777777" w:rsidR="00BA071B" w:rsidRDefault="00D17B80">
      <w:pPr>
        <w:numPr>
          <w:ilvl w:val="2"/>
          <w:numId w:val="5"/>
        </w:numPr>
        <w:rPr>
          <w:bCs/>
        </w:rPr>
      </w:pPr>
      <w:r>
        <w:rPr>
          <w:bCs/>
        </w:rPr>
        <w:t>Pre-qualification initially opens July 1, 2013 and remains open on a rolling basis. In order to pre-qualify for participation in any SOP Period, EGSs must submit all materials (as defined in this Article 4) at least 5 business days prior to the start of a new SOP Period.  Pre-qualification is a one-time submission event.</w:t>
      </w:r>
    </w:p>
    <w:p w14:paraId="3904C274" w14:textId="77777777" w:rsidR="00BA071B" w:rsidRDefault="00BA071B">
      <w:pPr>
        <w:ind w:left="2448"/>
      </w:pPr>
    </w:p>
    <w:p w14:paraId="06A4A247" w14:textId="77777777" w:rsidR="00BA071B" w:rsidRDefault="00D17B80">
      <w:pPr>
        <w:numPr>
          <w:ilvl w:val="2"/>
          <w:numId w:val="5"/>
        </w:numPr>
      </w:pPr>
      <w:r>
        <w:rPr>
          <w:rFonts w:ascii="TimesNewRoman" w:hAnsi="TimesNewRoman" w:cs="TimesNewRoman"/>
        </w:rPr>
        <w:t>Certification:</w:t>
      </w:r>
    </w:p>
    <w:p w14:paraId="74F231DD" w14:textId="77777777" w:rsidR="00BA071B" w:rsidRDefault="00BA071B">
      <w:pPr>
        <w:ind w:left="1728"/>
      </w:pPr>
    </w:p>
    <w:p w14:paraId="0A6FF4B5" w14:textId="77777777" w:rsidR="00BA071B" w:rsidRDefault="00D17B80">
      <w:pPr>
        <w:numPr>
          <w:ilvl w:val="3"/>
          <w:numId w:val="5"/>
        </w:numPr>
      </w:pPr>
      <w:r>
        <w:rPr>
          <w:rFonts w:ascii="TimesNewRoman" w:hAnsi="TimesNewRoman" w:cs="TimesNewRoman"/>
        </w:rPr>
        <w:t xml:space="preserve">An EGS </w:t>
      </w:r>
      <w:r>
        <w:t>must be licensed as an EGS by the Commission with authority to provide service to Residential and/or Small C&amp;I customers in PPL Electric’s service territory.    If an EGS loses its license to serve customers in PPL Electric’s service territory it may not participate in the Program.</w:t>
      </w:r>
    </w:p>
    <w:p w14:paraId="040B7C54" w14:textId="77777777" w:rsidR="00BA071B" w:rsidRDefault="00BA071B">
      <w:pPr>
        <w:ind w:left="3312"/>
      </w:pPr>
    </w:p>
    <w:p w14:paraId="47AD5B50" w14:textId="77777777" w:rsidR="00BA071B" w:rsidRDefault="00D17B80">
      <w:pPr>
        <w:numPr>
          <w:ilvl w:val="3"/>
          <w:numId w:val="5"/>
        </w:numPr>
      </w:pPr>
      <w:r>
        <w:t>An EGS must be registered with PJM as an EGS to participate in the Program.</w:t>
      </w:r>
    </w:p>
    <w:p w14:paraId="6094D9C3" w14:textId="77777777" w:rsidR="00BA071B" w:rsidRDefault="00BA071B">
      <w:pPr>
        <w:ind w:left="3312"/>
      </w:pPr>
    </w:p>
    <w:p w14:paraId="4972F58A" w14:textId="77777777" w:rsidR="00BA071B" w:rsidRDefault="00D17B80">
      <w:pPr>
        <w:numPr>
          <w:ilvl w:val="3"/>
          <w:numId w:val="5"/>
        </w:numPr>
      </w:pPr>
      <w:r>
        <w:t xml:space="preserve">An EGS must be certified by PPL Electric to exchange data using the EDI process, through the EDC consolidated billing level.  EGSs must be certified by PPL Electric as Rate Ready Billing.  </w:t>
      </w:r>
    </w:p>
    <w:p w14:paraId="5A4297F5" w14:textId="77777777" w:rsidR="00BA071B" w:rsidRDefault="00BA071B"/>
    <w:p w14:paraId="47CC7043" w14:textId="77777777" w:rsidR="00BA071B" w:rsidRDefault="00D17B80">
      <w:pPr>
        <w:numPr>
          <w:ilvl w:val="3"/>
          <w:numId w:val="5"/>
        </w:numPr>
      </w:pPr>
      <w:r>
        <w:t xml:space="preserve">All EGSs must meet the certification requirements on or before 5 business days prior to the start of a SOP Period to be </w:t>
      </w:r>
      <w:r>
        <w:lastRenderedPageBreak/>
        <w:t>eligible to participate in the Program (contingent upon completion of the additional qualification requirements set forth in Section 4.2 and 4.3).  Furthermore, EGSs must meet the certification requirements prior to PPL Electric accepting the Standard Offer Program Binding Participation Form and Standard Offer Program Contact Form.</w:t>
      </w:r>
    </w:p>
    <w:p w14:paraId="08FBA784" w14:textId="77777777" w:rsidR="00BA071B" w:rsidRDefault="00BA071B">
      <w:pPr>
        <w:pStyle w:val="ListParagraph"/>
      </w:pPr>
    </w:p>
    <w:p w14:paraId="39561904" w14:textId="77777777" w:rsidR="00BA071B" w:rsidRDefault="00D17B80">
      <w:pPr>
        <w:numPr>
          <w:ilvl w:val="3"/>
          <w:numId w:val="5"/>
        </w:numPr>
      </w:pPr>
      <w:r>
        <w:t>Any EGS that is already Rate Ready Billing certified by the Company is already deemed certified and does not have to recertify to pre-qualify.</w:t>
      </w:r>
    </w:p>
    <w:p w14:paraId="370A92C8" w14:textId="77777777" w:rsidR="00BA071B" w:rsidRDefault="00BA071B"/>
    <w:p w14:paraId="2BADE4D0" w14:textId="77777777" w:rsidR="00BA071B" w:rsidRDefault="00D17B80">
      <w:pPr>
        <w:numPr>
          <w:ilvl w:val="2"/>
          <w:numId w:val="5"/>
        </w:numPr>
      </w:pPr>
      <w:r>
        <w:t>Documentation:</w:t>
      </w:r>
    </w:p>
    <w:p w14:paraId="492FD774" w14:textId="77777777" w:rsidR="00BA071B" w:rsidRDefault="00BA071B">
      <w:pPr>
        <w:ind w:left="2448"/>
      </w:pPr>
    </w:p>
    <w:p w14:paraId="4B695974" w14:textId="77777777" w:rsidR="00BA071B" w:rsidRDefault="00D17B80">
      <w:pPr>
        <w:numPr>
          <w:ilvl w:val="3"/>
          <w:numId w:val="5"/>
        </w:numPr>
      </w:pPr>
      <w:r>
        <w:t>Every EGS must complete and execute the Standard Offer Program Binding Participation Form (Exhibit 1).    The Standard Offer Program Binding Participation Form must be executed by an Authorized Individual of the EGS.  Additionally, every EGS must fully complete the Standard Offer Program Contact Form.</w:t>
      </w:r>
    </w:p>
    <w:p w14:paraId="23998897" w14:textId="77777777" w:rsidR="00BA071B" w:rsidRDefault="00BA071B"/>
    <w:p w14:paraId="5419CD57" w14:textId="77777777" w:rsidR="00BA071B" w:rsidRDefault="00D17B80">
      <w:pPr>
        <w:numPr>
          <w:ilvl w:val="3"/>
          <w:numId w:val="5"/>
        </w:numPr>
      </w:pPr>
      <w:r>
        <w:t>Hardcopies of both the Standard Offer Program Binding Participation Form and Standard Offer Program Contact Form must be received in hard-copy format by PPL Electric at least 5 business days prior to the start of a SOP Period in order for the EGS to be eligible to participate in the Program (contingent upon completion of the additional qualification requirements set forth in Section 4.2 and 4.3).  Any EGS failing to execute these documents will result in PPL Electric eliminating that EGS from participating in the Program until such time that the EGS submits completed and executed materials.  It is of the sole responsibility of the EGS to cure any deficiency in the documentation materials.</w:t>
      </w:r>
    </w:p>
    <w:p w14:paraId="7CE75D31" w14:textId="77777777" w:rsidR="00BA071B" w:rsidRDefault="00BA071B"/>
    <w:p w14:paraId="52EF11CB" w14:textId="77777777" w:rsidR="00BA071B" w:rsidRDefault="00D17B80">
      <w:pPr>
        <w:numPr>
          <w:ilvl w:val="3"/>
          <w:numId w:val="5"/>
        </w:numPr>
      </w:pPr>
      <w:r>
        <w:t>All correspondence should be mailed to:</w:t>
      </w:r>
    </w:p>
    <w:p w14:paraId="388A6F4A" w14:textId="77777777" w:rsidR="00BA071B" w:rsidRDefault="00BA071B"/>
    <w:p w14:paraId="31DC3BDB" w14:textId="77777777" w:rsidR="00BA071B" w:rsidRDefault="00D17B80">
      <w:pPr>
        <w:ind w:left="3312"/>
      </w:pPr>
      <w:r>
        <w:t xml:space="preserve">PPL Electric Utilities Corporation </w:t>
      </w:r>
    </w:p>
    <w:p w14:paraId="68F10F75" w14:textId="77777777" w:rsidR="00BA071B" w:rsidRDefault="00D17B80">
      <w:pPr>
        <w:ind w:left="3312"/>
      </w:pPr>
      <w:r>
        <w:t>Standard Offer Program</w:t>
      </w:r>
    </w:p>
    <w:p w14:paraId="02EADF9D" w14:textId="77777777" w:rsidR="00BA071B" w:rsidRDefault="00D17B80">
      <w:pPr>
        <w:ind w:left="3312"/>
      </w:pPr>
      <w:r>
        <w:t>827 Hausman Road, LEHSC</w:t>
      </w:r>
    </w:p>
    <w:p w14:paraId="079130ED" w14:textId="77777777" w:rsidR="00BA071B" w:rsidRDefault="00D17B80">
      <w:pPr>
        <w:ind w:left="3312"/>
      </w:pPr>
      <w:r>
        <w:t>Allentown, PA 18104</w:t>
      </w:r>
    </w:p>
    <w:p w14:paraId="680EB1FD" w14:textId="77777777" w:rsidR="00BA071B" w:rsidRDefault="00D17B80">
      <w:pPr>
        <w:ind w:left="3312"/>
      </w:pPr>
      <w:r>
        <w:t>Attn: Manager – Billing Operations</w:t>
      </w:r>
    </w:p>
    <w:p w14:paraId="16CF2918" w14:textId="77777777" w:rsidR="00BA071B" w:rsidRDefault="00BA071B">
      <w:pPr>
        <w:ind w:left="3312"/>
      </w:pPr>
    </w:p>
    <w:p w14:paraId="24684162" w14:textId="77777777" w:rsidR="00BA071B" w:rsidRDefault="00D17B80">
      <w:pPr>
        <w:numPr>
          <w:ilvl w:val="1"/>
          <w:numId w:val="5"/>
        </w:numPr>
      </w:pPr>
      <w:r>
        <w:t>SOP Period Qualification Requirements</w:t>
      </w:r>
    </w:p>
    <w:p w14:paraId="4EA100E7" w14:textId="77777777" w:rsidR="00BA071B" w:rsidRDefault="00BA071B"/>
    <w:p w14:paraId="11AC6F85" w14:textId="77777777" w:rsidR="00BA071B" w:rsidRDefault="00D17B80">
      <w:pPr>
        <w:numPr>
          <w:ilvl w:val="2"/>
          <w:numId w:val="5"/>
        </w:numPr>
      </w:pPr>
      <w:r>
        <w:t xml:space="preserve">Each EGS that is pre-qualified must notify the Company via e-mail of their intent to participate in the upcoming SOP Period, including identifying the Customer Groups in which they intend to serve.  The </w:t>
      </w:r>
      <w:r>
        <w:lastRenderedPageBreak/>
        <w:t xml:space="preserve">EGS must notify the Company by e-mail (see Section 4.3.2 for the contact e-mail address) on or before 5 business days prior to the start of the SOP Period.  If the EGS does not notify the Company of their intent to participate, they will not be included in that SOP Period’s Program.  </w:t>
      </w:r>
    </w:p>
    <w:p w14:paraId="1F3EED60" w14:textId="77777777" w:rsidR="00BA071B" w:rsidRDefault="00BA071B">
      <w:pPr>
        <w:ind w:left="2448"/>
      </w:pPr>
    </w:p>
    <w:p w14:paraId="4C254E39" w14:textId="77777777" w:rsidR="00BA071B" w:rsidRDefault="00D17B80">
      <w:pPr>
        <w:numPr>
          <w:ilvl w:val="2"/>
          <w:numId w:val="5"/>
        </w:numPr>
      </w:pPr>
      <w:r>
        <w:t>All communications regarding an EGSs intent to participate in an SOP Period Program must be made to the following e-mail address: PPLUtilitiesSupplier@pplweb.com.</w:t>
      </w:r>
    </w:p>
    <w:p w14:paraId="4E36AC16" w14:textId="77777777" w:rsidR="00BA071B" w:rsidRDefault="00BA071B">
      <w:pPr>
        <w:pStyle w:val="ListParagraph"/>
      </w:pPr>
    </w:p>
    <w:p w14:paraId="2274977E" w14:textId="77777777" w:rsidR="00BA071B" w:rsidRDefault="00BA071B"/>
    <w:p w14:paraId="6DE48BE5" w14:textId="77777777" w:rsidR="00BA071B" w:rsidRDefault="00D17B80">
      <w:pPr>
        <w:pStyle w:val="Heading1"/>
        <w:rPr>
          <w:b/>
          <w:bCs/>
          <w:sz w:val="28"/>
        </w:rPr>
      </w:pPr>
      <w:bookmarkStart w:id="22" w:name="_Toc323747441"/>
      <w:bookmarkStart w:id="23" w:name="_Toc324512245"/>
      <w:bookmarkStart w:id="24" w:name="_Toc349802707"/>
      <w:bookmarkStart w:id="25" w:name="_Toc350336540"/>
      <w:r>
        <w:rPr>
          <w:b/>
          <w:bCs/>
          <w:sz w:val="28"/>
        </w:rPr>
        <w:t xml:space="preserve">ARTICLE 5 </w:t>
      </w:r>
      <w:r>
        <w:rPr>
          <w:b/>
          <w:bCs/>
          <w:sz w:val="28"/>
        </w:rPr>
        <w:br/>
      </w:r>
      <w:bookmarkEnd w:id="22"/>
      <w:bookmarkEnd w:id="23"/>
      <w:r>
        <w:rPr>
          <w:b/>
          <w:bCs/>
          <w:sz w:val="28"/>
        </w:rPr>
        <w:t>Customer Communications and Customer Allocation Process</w:t>
      </w:r>
      <w:bookmarkEnd w:id="24"/>
      <w:bookmarkEnd w:id="25"/>
    </w:p>
    <w:p w14:paraId="73D7C933" w14:textId="77777777" w:rsidR="00BA071B" w:rsidRDefault="00BA071B">
      <w:pPr>
        <w:pStyle w:val="StyleOutlinenumbered"/>
        <w:numPr>
          <w:ilvl w:val="0"/>
          <w:numId w:val="0"/>
        </w:numPr>
      </w:pPr>
    </w:p>
    <w:p w14:paraId="384E90DB" w14:textId="77777777" w:rsidR="00BA071B" w:rsidRDefault="00D17B80">
      <w:pPr>
        <w:numPr>
          <w:ilvl w:val="0"/>
          <w:numId w:val="5"/>
        </w:numPr>
        <w:rPr>
          <w:b/>
        </w:rPr>
      </w:pPr>
      <w:r>
        <w:rPr>
          <w:b/>
        </w:rPr>
        <w:t>Customer Communications and Customer Allocation Process</w:t>
      </w:r>
    </w:p>
    <w:p w14:paraId="3917E79E" w14:textId="77777777" w:rsidR="00BA071B" w:rsidRDefault="00BA071B"/>
    <w:p w14:paraId="651D6BDE" w14:textId="77777777" w:rsidR="00BA071B" w:rsidRDefault="00D17B80">
      <w:pPr>
        <w:numPr>
          <w:ilvl w:val="1"/>
          <w:numId w:val="5"/>
        </w:numPr>
        <w:tabs>
          <w:tab w:val="clear" w:pos="1284"/>
        </w:tabs>
        <w:ind w:left="1260" w:hanging="540"/>
      </w:pPr>
      <w:r>
        <w:t>The Program will be initially offered by the Company to all eligible PPL Electric Default Service customers who contact the Company call center, with the exception of those defined in Section 5.1.4.  Before offering the Program, the Company will first resolve the customer’s concerns or inquiry that was the reason for the call.  The initial Program offering will only include a summary overview of the Program – upon interest of the customer, they will be transferred to a third-party to learn more information and enroll.</w:t>
      </w:r>
    </w:p>
    <w:p w14:paraId="34C00AD3" w14:textId="77777777" w:rsidR="00BA071B" w:rsidRDefault="00BA071B">
      <w:pPr>
        <w:ind w:left="720"/>
      </w:pPr>
    </w:p>
    <w:p w14:paraId="466C1F10" w14:textId="77777777" w:rsidR="00BA071B" w:rsidRDefault="00D17B80">
      <w:pPr>
        <w:numPr>
          <w:ilvl w:val="2"/>
          <w:numId w:val="5"/>
        </w:numPr>
      </w:pPr>
      <w:r>
        <w:t>The Company will offer the Program to new or moving customers upon completing new account set-up.</w:t>
      </w:r>
    </w:p>
    <w:p w14:paraId="3CF07D8F" w14:textId="77777777" w:rsidR="00BA071B" w:rsidRDefault="00BA071B">
      <w:pPr>
        <w:ind w:left="2448"/>
      </w:pPr>
    </w:p>
    <w:p w14:paraId="710D9B22" w14:textId="77777777" w:rsidR="00BA071B" w:rsidRDefault="00D17B80">
      <w:pPr>
        <w:numPr>
          <w:ilvl w:val="2"/>
          <w:numId w:val="5"/>
        </w:numPr>
      </w:pPr>
      <w:r>
        <w:t>Enrolled Customer Assistance Program (CAP) customers are not eligible to participate in this Program.</w:t>
      </w:r>
    </w:p>
    <w:p w14:paraId="32054C6E" w14:textId="77777777" w:rsidR="00BA071B" w:rsidRDefault="00BA071B"/>
    <w:p w14:paraId="1051F327" w14:textId="77777777" w:rsidR="00BA071B" w:rsidRDefault="00D17B80">
      <w:pPr>
        <w:numPr>
          <w:ilvl w:val="2"/>
          <w:numId w:val="5"/>
        </w:numPr>
      </w:pPr>
      <w:r>
        <w:t xml:space="preserve">Residential and Small C&amp;I less than 25kW shopping customers in the PPL Service territory calling the Company will not be actively offered the Program.  If a shopping customer actively inquires about the Program, the Company will allow for the customer’s participation and inclusion.  The Company will explain to the customer that terminating their existing shopping contract to participate in SOP may trigger early termination fees.  </w:t>
      </w:r>
    </w:p>
    <w:p w14:paraId="32E9D4D1" w14:textId="77777777" w:rsidR="00BA071B" w:rsidRDefault="00BA071B">
      <w:pPr>
        <w:ind w:left="2448"/>
      </w:pPr>
    </w:p>
    <w:p w14:paraId="4F9631DD" w14:textId="77777777" w:rsidR="00BA071B" w:rsidRDefault="00D17B80">
      <w:pPr>
        <w:numPr>
          <w:ilvl w:val="2"/>
          <w:numId w:val="5"/>
        </w:numPr>
      </w:pPr>
      <w:r>
        <w:t>The Company will not offer the Program to Default Service customers calling for an emergency or for termination of service.</w:t>
      </w:r>
    </w:p>
    <w:p w14:paraId="5003C041" w14:textId="77777777" w:rsidR="00BA071B" w:rsidRDefault="00BA071B"/>
    <w:p w14:paraId="3AF356B4" w14:textId="77777777" w:rsidR="00BA071B" w:rsidRDefault="00D17B80">
      <w:pPr>
        <w:numPr>
          <w:ilvl w:val="1"/>
          <w:numId w:val="5"/>
        </w:numPr>
      </w:pPr>
      <w:r>
        <w:t xml:space="preserve">Customers interested in the Program will be transferred from PPL Electric to a third-party vendor, who will then give the customer additional information on the Program and allow the customer to enroll.  Customers who have a specific EGS in mind may enroll with that EGS.  Otherwise, customers will be told that they will be randomly assigned to a Participating EGS.  </w:t>
      </w:r>
    </w:p>
    <w:p w14:paraId="2452101C" w14:textId="77777777" w:rsidR="00BA071B" w:rsidRDefault="00BA071B">
      <w:pPr>
        <w:ind w:left="1284"/>
      </w:pPr>
    </w:p>
    <w:p w14:paraId="7B40B80B" w14:textId="77777777" w:rsidR="00BA071B" w:rsidRDefault="00BA071B">
      <w:pPr>
        <w:pStyle w:val="ListParagraph"/>
      </w:pPr>
    </w:p>
    <w:p w14:paraId="7CE16ED6" w14:textId="77777777" w:rsidR="00BA071B" w:rsidRDefault="00D17B80">
      <w:pPr>
        <w:numPr>
          <w:ilvl w:val="1"/>
          <w:numId w:val="5"/>
        </w:numPr>
      </w:pPr>
      <w:r>
        <w:t>If during any SOP Period there are no EGSs meeting the SOP Period Qualification Requirements, the Program will not be offered to customers for that SOP Period.  If such an event occurs, Company call scripts will be modified to not offer the Program.</w:t>
      </w:r>
    </w:p>
    <w:p w14:paraId="6F65F6DC" w14:textId="77777777" w:rsidR="00BA071B" w:rsidRDefault="00BA071B">
      <w:pPr>
        <w:ind w:left="1284"/>
      </w:pPr>
    </w:p>
    <w:p w14:paraId="35BC3E26" w14:textId="77777777" w:rsidR="00BA071B" w:rsidRDefault="00D17B80">
      <w:pPr>
        <w:numPr>
          <w:ilvl w:val="1"/>
          <w:numId w:val="5"/>
        </w:numPr>
      </w:pPr>
      <w:r>
        <w:t xml:space="preserve">The Company will utilize an algorithm to randomly assign customers to participating EGSs.  The algorithm is designed to assign an equal amount of customers to participating EGSs. As the customer accounts get assigned to an EGS, the accounts will be added to each EGS’s referral report, real time. </w:t>
      </w:r>
    </w:p>
    <w:p w14:paraId="11A904C2" w14:textId="77777777" w:rsidR="00BA071B" w:rsidRDefault="00BA071B">
      <w:pPr>
        <w:pStyle w:val="ListParagraph"/>
      </w:pPr>
    </w:p>
    <w:p w14:paraId="1C284EDC" w14:textId="77777777" w:rsidR="00BA071B" w:rsidRDefault="00D17B80">
      <w:pPr>
        <w:numPr>
          <w:ilvl w:val="1"/>
          <w:numId w:val="5"/>
        </w:numPr>
      </w:pPr>
      <w:r>
        <w:t xml:space="preserve">At any point during the day, an EGS can access customer-specific data and information for those customers which have been assigned to the EGS through the supplier portal.  This data is available via the Company’s Supplier portal for each participating supplier at: https://supplier.prod.pplweb.com/eusupplierportal/Secured/Retail/SOReferrals.aspx </w:t>
      </w:r>
    </w:p>
    <w:p w14:paraId="5166133B" w14:textId="77777777" w:rsidR="00BA071B" w:rsidRDefault="00BA071B">
      <w:pPr>
        <w:pStyle w:val="ListParagraph"/>
      </w:pPr>
    </w:p>
    <w:p w14:paraId="1C8465F1" w14:textId="77777777" w:rsidR="00BA071B" w:rsidRDefault="00BA071B">
      <w:pPr>
        <w:pStyle w:val="StyleOutlinenumbered"/>
        <w:numPr>
          <w:ilvl w:val="0"/>
          <w:numId w:val="0"/>
        </w:numPr>
      </w:pPr>
    </w:p>
    <w:p w14:paraId="1E4782DA" w14:textId="77777777" w:rsidR="00BA071B" w:rsidRDefault="00BA071B">
      <w:pPr>
        <w:pStyle w:val="StyleOutlinenumbered"/>
        <w:numPr>
          <w:ilvl w:val="0"/>
          <w:numId w:val="0"/>
        </w:numPr>
      </w:pPr>
    </w:p>
    <w:p w14:paraId="3873B6CB" w14:textId="77777777" w:rsidR="00BA071B" w:rsidRDefault="00D17B80">
      <w:pPr>
        <w:pStyle w:val="Heading1"/>
        <w:rPr>
          <w:b/>
          <w:bCs/>
          <w:sz w:val="28"/>
        </w:rPr>
      </w:pPr>
      <w:bookmarkStart w:id="26" w:name="_Toc323747443"/>
      <w:bookmarkStart w:id="27" w:name="_Toc324512246"/>
      <w:bookmarkStart w:id="28" w:name="_Toc349802708"/>
      <w:bookmarkStart w:id="29" w:name="_Toc350336541"/>
      <w:r>
        <w:rPr>
          <w:b/>
          <w:bCs/>
          <w:sz w:val="28"/>
        </w:rPr>
        <w:t xml:space="preserve">ARTICLE 6 </w:t>
      </w:r>
      <w:r>
        <w:rPr>
          <w:b/>
          <w:bCs/>
          <w:sz w:val="28"/>
        </w:rPr>
        <w:br/>
      </w:r>
      <w:bookmarkEnd w:id="26"/>
      <w:bookmarkEnd w:id="27"/>
      <w:r>
        <w:rPr>
          <w:b/>
          <w:bCs/>
          <w:sz w:val="28"/>
        </w:rPr>
        <w:t>EGS Obligations</w:t>
      </w:r>
      <w:bookmarkEnd w:id="28"/>
      <w:bookmarkEnd w:id="29"/>
      <w:r>
        <w:rPr>
          <w:b/>
          <w:bCs/>
          <w:sz w:val="28"/>
        </w:rPr>
        <w:t xml:space="preserve">  </w:t>
      </w:r>
    </w:p>
    <w:p w14:paraId="4A385C2B" w14:textId="77777777" w:rsidR="00BA071B" w:rsidRDefault="00BA071B"/>
    <w:p w14:paraId="6F34AFF7" w14:textId="77777777" w:rsidR="00BA071B" w:rsidRDefault="00D17B80">
      <w:pPr>
        <w:numPr>
          <w:ilvl w:val="0"/>
          <w:numId w:val="7"/>
        </w:numPr>
        <w:tabs>
          <w:tab w:val="clear" w:pos="720"/>
          <w:tab w:val="num" w:pos="450"/>
        </w:tabs>
        <w:ind w:left="450" w:hanging="450"/>
        <w:rPr>
          <w:b/>
        </w:rPr>
      </w:pPr>
      <w:r>
        <w:rPr>
          <w:b/>
        </w:rPr>
        <w:t>EGS Obligations</w:t>
      </w:r>
    </w:p>
    <w:p w14:paraId="534F8879" w14:textId="77777777" w:rsidR="00BA071B" w:rsidRDefault="00BA071B">
      <w:pPr>
        <w:rPr>
          <w:b/>
        </w:rPr>
      </w:pPr>
    </w:p>
    <w:p w14:paraId="2D33599B" w14:textId="77777777" w:rsidR="00BA071B" w:rsidRDefault="00D17B80">
      <w:pPr>
        <w:numPr>
          <w:ilvl w:val="1"/>
          <w:numId w:val="7"/>
        </w:numPr>
        <w:tabs>
          <w:tab w:val="clear" w:pos="1440"/>
          <w:tab w:val="num" w:pos="1260"/>
        </w:tabs>
        <w:ind w:left="1260" w:right="-360" w:hanging="540"/>
      </w:pPr>
      <w:r>
        <w:t xml:space="preserve">All Participating EGSs, upon receipt of the customer assignment data file (see Article 5.5), must begin the customer enrollment process.  This process includes communicating the terms and conditions of the Program to the customer (Section 6.2) and the completion and submission and processing of the EDI 814 enrollment request transaction with the Company (Section 6.3). </w:t>
      </w:r>
    </w:p>
    <w:p w14:paraId="26016C5F" w14:textId="77777777" w:rsidR="00BA071B" w:rsidRDefault="00BA071B">
      <w:pPr>
        <w:ind w:left="1260" w:right="-360"/>
      </w:pPr>
    </w:p>
    <w:p w14:paraId="1FA742EB" w14:textId="77777777" w:rsidR="00BA071B" w:rsidRDefault="00D17B80">
      <w:pPr>
        <w:numPr>
          <w:ilvl w:val="1"/>
          <w:numId w:val="7"/>
        </w:numPr>
        <w:tabs>
          <w:tab w:val="clear" w:pos="1440"/>
          <w:tab w:val="num" w:pos="1260"/>
        </w:tabs>
        <w:ind w:left="1260" w:right="-360" w:hanging="540"/>
      </w:pPr>
      <w:r>
        <w:t>Within three (3) business days upon an EGS receiving a list of customer assignments, the EGS must issue a letter to the customer detailing the terms and conditions of the Program. Additionally, the EGS is obligated to comply with all rules and requirements set forth in 52 Pennsylvania Code Chapter 54.  The terms and conditions of the Program that shall be communicated to the customer include:</w:t>
      </w:r>
    </w:p>
    <w:p w14:paraId="6EBEF301" w14:textId="77777777" w:rsidR="00BA071B" w:rsidRDefault="00BA071B">
      <w:pPr>
        <w:ind w:left="1260" w:right="-360"/>
      </w:pPr>
    </w:p>
    <w:p w14:paraId="2E7D7210" w14:textId="77777777" w:rsidR="00BA071B" w:rsidRDefault="00D17B80">
      <w:pPr>
        <w:numPr>
          <w:ilvl w:val="2"/>
          <w:numId w:val="7"/>
        </w:numPr>
        <w:ind w:right="-360"/>
      </w:pPr>
      <w:r>
        <w:t>The generation rate will be set at 7% below the PTC at the time the customer elects the Program.  Additionally, the rate must remain fixed for a 12 billing cycle term.</w:t>
      </w:r>
    </w:p>
    <w:p w14:paraId="1D8D9DAA" w14:textId="77777777" w:rsidR="00BA071B" w:rsidRDefault="00BA071B">
      <w:pPr>
        <w:ind w:left="2160" w:right="-360"/>
      </w:pPr>
    </w:p>
    <w:p w14:paraId="5CE65208" w14:textId="77777777" w:rsidR="00BA071B" w:rsidRDefault="00D17B80">
      <w:pPr>
        <w:numPr>
          <w:ilvl w:val="2"/>
          <w:numId w:val="7"/>
        </w:numPr>
        <w:ind w:right="-360"/>
      </w:pPr>
      <w:r>
        <w:t>There will be no early termination fee or penalties.</w:t>
      </w:r>
    </w:p>
    <w:p w14:paraId="0AE5DD7E" w14:textId="77777777" w:rsidR="00BA071B" w:rsidRDefault="00BA071B">
      <w:pPr>
        <w:ind w:left="2160" w:right="-360"/>
      </w:pPr>
    </w:p>
    <w:p w14:paraId="2F6EE36C" w14:textId="77777777" w:rsidR="00461FC4" w:rsidRPr="00461FC4" w:rsidRDefault="00D17B80" w:rsidP="00461FC4">
      <w:pPr>
        <w:numPr>
          <w:ilvl w:val="2"/>
          <w:numId w:val="7"/>
        </w:numPr>
        <w:ind w:right="-360"/>
      </w:pPr>
      <w:r w:rsidRPr="00461FC4">
        <w:t>The customer will remain on the EGS’s service at the conclusion of the contract on a month-to-month contract, at a rate set by the EGS, until the customer elects a different rate by the EGS, chooses an alternative supplier, or returns to default service.</w:t>
      </w:r>
    </w:p>
    <w:p w14:paraId="38B0D795" w14:textId="77777777" w:rsidR="00BA071B" w:rsidRDefault="00BA071B">
      <w:pPr>
        <w:ind w:left="1440" w:right="-360"/>
      </w:pPr>
    </w:p>
    <w:p w14:paraId="734B30D7" w14:textId="77777777" w:rsidR="00BA071B" w:rsidRDefault="00D17B80">
      <w:pPr>
        <w:numPr>
          <w:ilvl w:val="1"/>
          <w:numId w:val="7"/>
        </w:numPr>
        <w:ind w:right="-360"/>
      </w:pPr>
      <w:r>
        <w:t xml:space="preserve">Within 3 business days following the customer’s rescission period for enrollment, the EGS must enroll assigned customers through the EDI 814 enrollment process.  The Company will respond to the EGS with an EDI 814 enrollment response transaction indicating to the EGS whether the enrollment has been accepted or rejected by the Company and if accepted, the date the EGS should begin serving the customer.  </w:t>
      </w:r>
    </w:p>
    <w:p w14:paraId="269D8D69" w14:textId="77777777" w:rsidR="00BA071B" w:rsidRDefault="00BA071B">
      <w:pPr>
        <w:pStyle w:val="ListParagraph"/>
      </w:pPr>
    </w:p>
    <w:p w14:paraId="0546BECE" w14:textId="77777777" w:rsidR="00BA071B" w:rsidRDefault="00D17B80">
      <w:pPr>
        <w:numPr>
          <w:ilvl w:val="2"/>
          <w:numId w:val="7"/>
        </w:numPr>
        <w:ind w:right="-360"/>
      </w:pPr>
      <w:r>
        <w:t>An EGS may not limit or reject any customer assigned to it through the Company’s assignment process.</w:t>
      </w:r>
    </w:p>
    <w:p w14:paraId="06128728" w14:textId="77777777" w:rsidR="00BA071B" w:rsidRDefault="00BA071B">
      <w:pPr>
        <w:ind w:left="1440" w:right="-360"/>
      </w:pPr>
    </w:p>
    <w:p w14:paraId="0FD7C45A" w14:textId="77777777" w:rsidR="00BA071B" w:rsidRDefault="00D17B80">
      <w:pPr>
        <w:numPr>
          <w:ilvl w:val="1"/>
          <w:numId w:val="7"/>
        </w:numPr>
        <w:tabs>
          <w:tab w:val="clear" w:pos="1440"/>
          <w:tab w:val="num" w:pos="1260"/>
        </w:tabs>
        <w:ind w:left="1260" w:right="-360" w:hanging="540"/>
      </w:pPr>
      <w:r>
        <w:t>Following the submission of the EDI 814 enrollment, a customer will begin supply with the EGS on the date communicated to the EGS by the Company via the EDI 814 enrollment response transaction. This date is calculated according to the 3 Business Day Switching Rule with an exception noted in Section 6.4.2, below.</w:t>
      </w:r>
    </w:p>
    <w:p w14:paraId="63947AB9" w14:textId="77777777" w:rsidR="00BA071B" w:rsidRDefault="00BA071B">
      <w:pPr>
        <w:ind w:left="2160" w:right="-360"/>
      </w:pPr>
    </w:p>
    <w:p w14:paraId="5234F6BA" w14:textId="77777777" w:rsidR="00BA071B" w:rsidRDefault="00D17B80">
      <w:pPr>
        <w:numPr>
          <w:ilvl w:val="2"/>
          <w:numId w:val="7"/>
        </w:numPr>
        <w:ind w:right="-360"/>
      </w:pPr>
      <w:r>
        <w:t>Customers may choose to remain in their current shopping contract or on Default Service without taking service from their assigned EGS during the 3-day contract rescission period.</w:t>
      </w:r>
    </w:p>
    <w:p w14:paraId="54EA3082" w14:textId="77777777" w:rsidR="00BA071B" w:rsidRDefault="00BA071B">
      <w:pPr>
        <w:ind w:right="-360"/>
      </w:pPr>
    </w:p>
    <w:p w14:paraId="3753DD7E" w14:textId="77777777" w:rsidR="00BA071B" w:rsidRDefault="00D17B80">
      <w:pPr>
        <w:numPr>
          <w:ilvl w:val="2"/>
          <w:numId w:val="7"/>
        </w:numPr>
        <w:ind w:right="-360"/>
      </w:pPr>
      <w:r>
        <w:t xml:space="preserve">New and Moving customers will begin supply with the EGS on the date communicated to the EGS by the Company via the EDI 814 enrollment response transactions. The enrollment response will not be generated until the new account is active.  The Company provides a separate pending enrollment report for each EGS that includes all accounts that have not been activated.   An EGS will begin supplying the customer as of the customer’s connect date.     </w:t>
      </w:r>
    </w:p>
    <w:p w14:paraId="276504B0" w14:textId="77777777" w:rsidR="00BA071B" w:rsidRDefault="00BA071B">
      <w:pPr>
        <w:ind w:right="-540"/>
      </w:pPr>
    </w:p>
    <w:p w14:paraId="6971AC93" w14:textId="77777777" w:rsidR="00BA071B" w:rsidRDefault="00BA071B">
      <w:pPr>
        <w:ind w:right="-540"/>
      </w:pPr>
    </w:p>
    <w:p w14:paraId="48F67F09" w14:textId="77777777" w:rsidR="00BA071B" w:rsidRDefault="00D17B80">
      <w:pPr>
        <w:pStyle w:val="Heading1"/>
        <w:rPr>
          <w:b/>
          <w:bCs/>
          <w:sz w:val="28"/>
        </w:rPr>
      </w:pPr>
      <w:bookmarkStart w:id="30" w:name="_Toc323747444"/>
      <w:bookmarkStart w:id="31" w:name="_Toc324512247"/>
      <w:bookmarkStart w:id="32" w:name="_Toc349802709"/>
      <w:bookmarkStart w:id="33" w:name="_Toc350336542"/>
      <w:r>
        <w:rPr>
          <w:b/>
          <w:bCs/>
          <w:sz w:val="28"/>
        </w:rPr>
        <w:t xml:space="preserve">ARTICLE 7 </w:t>
      </w:r>
      <w:r>
        <w:rPr>
          <w:b/>
          <w:bCs/>
          <w:sz w:val="28"/>
        </w:rPr>
        <w:br/>
      </w:r>
      <w:bookmarkEnd w:id="30"/>
      <w:bookmarkEnd w:id="31"/>
      <w:r>
        <w:rPr>
          <w:b/>
          <w:bCs/>
          <w:sz w:val="28"/>
        </w:rPr>
        <w:t>Program Costs and Invoicing</w:t>
      </w:r>
      <w:bookmarkEnd w:id="32"/>
      <w:bookmarkEnd w:id="33"/>
    </w:p>
    <w:p w14:paraId="33744ADF" w14:textId="77777777" w:rsidR="00BA071B" w:rsidRDefault="00BA071B"/>
    <w:p w14:paraId="0F69153F" w14:textId="77777777" w:rsidR="00BA071B" w:rsidRDefault="00D17B80">
      <w:pPr>
        <w:numPr>
          <w:ilvl w:val="0"/>
          <w:numId w:val="7"/>
        </w:numPr>
        <w:rPr>
          <w:b/>
        </w:rPr>
      </w:pPr>
      <w:r>
        <w:rPr>
          <w:b/>
        </w:rPr>
        <w:t>Program Costs and Invoicing</w:t>
      </w:r>
    </w:p>
    <w:p w14:paraId="4D60C942" w14:textId="77777777" w:rsidR="00BA071B" w:rsidRDefault="00BA071B">
      <w:pPr>
        <w:rPr>
          <w:b/>
        </w:rPr>
      </w:pPr>
    </w:p>
    <w:p w14:paraId="1515CBBC" w14:textId="77777777" w:rsidR="00BA071B" w:rsidRDefault="00D17B80">
      <w:pPr>
        <w:numPr>
          <w:ilvl w:val="1"/>
          <w:numId w:val="7"/>
        </w:numPr>
      </w:pPr>
      <w:r>
        <w:t xml:space="preserve">Participating EGSs are required to pay a fee of $28 per referred customer.  Any remaining costs shall be included and recovered in the Company’s Competitive Enhancement Rider.  The allocation of these costs to the Customer Groups will be determined consistent with the cost allocations accepted by the Commission in PPL Electric’s most recent base-rate proceeding.  </w:t>
      </w:r>
    </w:p>
    <w:p w14:paraId="0035AE36" w14:textId="77777777" w:rsidR="00BA071B" w:rsidRDefault="00BA071B">
      <w:pPr>
        <w:ind w:left="720"/>
      </w:pPr>
    </w:p>
    <w:p w14:paraId="266908F6" w14:textId="77777777" w:rsidR="00BA071B" w:rsidRDefault="00D17B80">
      <w:pPr>
        <w:numPr>
          <w:ilvl w:val="1"/>
          <w:numId w:val="7"/>
        </w:numPr>
        <w:tabs>
          <w:tab w:val="clear" w:pos="1440"/>
          <w:tab w:val="num" w:pos="1260"/>
        </w:tabs>
        <w:ind w:left="1260" w:hanging="540"/>
      </w:pPr>
      <w:r>
        <w:t>Invoices will be issued within 10 business days following the conclusion of the month.  Invoices will be issued via e-mail to the EGS based upon the contact information provided.</w:t>
      </w:r>
    </w:p>
    <w:p w14:paraId="268999D1" w14:textId="77777777" w:rsidR="00BA071B" w:rsidRDefault="00BA071B"/>
    <w:p w14:paraId="07DE9DA1" w14:textId="77777777" w:rsidR="00BA071B" w:rsidRDefault="00D17B80">
      <w:pPr>
        <w:numPr>
          <w:ilvl w:val="1"/>
          <w:numId w:val="7"/>
        </w:numPr>
        <w:tabs>
          <w:tab w:val="clear" w:pos="1440"/>
          <w:tab w:val="num" w:pos="1260"/>
        </w:tabs>
        <w:ind w:left="1260" w:hanging="540"/>
      </w:pPr>
      <w:r>
        <w:t>Once issued an invoice, the EGS is required to pay the invoice within 20 business days to PPL Electric.  Payment must be made via Electronic Funds Transfer (EFT).  The Company will issue banking information upon successful completion of Pre-Qualification requirements.</w:t>
      </w:r>
    </w:p>
    <w:p w14:paraId="0251CD88" w14:textId="77777777" w:rsidR="00BA071B" w:rsidRDefault="00BA071B">
      <w:pPr>
        <w:ind w:left="1260"/>
      </w:pPr>
    </w:p>
    <w:p w14:paraId="17469C0C" w14:textId="77777777" w:rsidR="00BA071B" w:rsidRDefault="00BA071B">
      <w:pPr>
        <w:ind w:left="1260"/>
      </w:pPr>
    </w:p>
    <w:p w14:paraId="0ADD3056" w14:textId="77777777" w:rsidR="00BA071B" w:rsidRDefault="00D17B80">
      <w:pPr>
        <w:pStyle w:val="Heading1"/>
        <w:rPr>
          <w:b/>
          <w:bCs/>
          <w:sz w:val="28"/>
        </w:rPr>
      </w:pPr>
      <w:bookmarkStart w:id="34" w:name="_Toc323747445"/>
      <w:bookmarkStart w:id="35" w:name="_Toc324512248"/>
      <w:bookmarkStart w:id="36" w:name="_Toc349802710"/>
      <w:bookmarkStart w:id="37" w:name="_Toc350336543"/>
      <w:r>
        <w:rPr>
          <w:b/>
          <w:bCs/>
          <w:sz w:val="28"/>
        </w:rPr>
        <w:t xml:space="preserve">ARTICLE 8 </w:t>
      </w:r>
      <w:r>
        <w:rPr>
          <w:b/>
          <w:bCs/>
          <w:sz w:val="28"/>
        </w:rPr>
        <w:br/>
        <w:t>REPORTING REQUIREMENTS</w:t>
      </w:r>
      <w:bookmarkEnd w:id="34"/>
      <w:bookmarkEnd w:id="35"/>
      <w:bookmarkEnd w:id="36"/>
      <w:bookmarkEnd w:id="37"/>
    </w:p>
    <w:p w14:paraId="629411A8" w14:textId="77777777" w:rsidR="00BA071B" w:rsidRDefault="00BA071B">
      <w:pPr>
        <w:pStyle w:val="StyleOutlinenumbered"/>
        <w:numPr>
          <w:ilvl w:val="0"/>
          <w:numId w:val="0"/>
        </w:numPr>
      </w:pPr>
    </w:p>
    <w:p w14:paraId="65763FA2" w14:textId="77777777" w:rsidR="00BA071B" w:rsidRDefault="00D17B80">
      <w:pPr>
        <w:numPr>
          <w:ilvl w:val="0"/>
          <w:numId w:val="7"/>
        </w:numPr>
        <w:rPr>
          <w:b/>
        </w:rPr>
      </w:pPr>
      <w:r>
        <w:rPr>
          <w:b/>
        </w:rPr>
        <w:t>Reporting Requirements</w:t>
      </w:r>
    </w:p>
    <w:p w14:paraId="04740F62" w14:textId="77777777" w:rsidR="00BA071B" w:rsidRDefault="00BA071B">
      <w:pPr>
        <w:rPr>
          <w:b/>
        </w:rPr>
      </w:pPr>
    </w:p>
    <w:p w14:paraId="737EDACC" w14:textId="77777777" w:rsidR="00BA071B" w:rsidRDefault="00D17B80">
      <w:pPr>
        <w:numPr>
          <w:ilvl w:val="1"/>
          <w:numId w:val="7"/>
        </w:numPr>
        <w:tabs>
          <w:tab w:val="clear" w:pos="1440"/>
          <w:tab w:val="num" w:pos="1260"/>
        </w:tabs>
        <w:ind w:left="1260" w:hanging="540"/>
        <w:rPr>
          <w:b/>
        </w:rPr>
      </w:pPr>
      <w:r>
        <w:t>Each Participating EGS is independently responsible to maintain data and information regarding its participation and assigned customer participation in the Program.  It is also the Participating EGS’s responsibility to provide support or evidence, if called upon, in the event of a formal or informal complaint filed at the PUC by or for a customer with regards to a customer’s participation in the Program.</w:t>
      </w:r>
    </w:p>
    <w:p w14:paraId="649CA6CA" w14:textId="77777777" w:rsidR="00BA071B" w:rsidRDefault="00BA071B">
      <w:pPr>
        <w:ind w:left="1260"/>
        <w:rPr>
          <w:b/>
        </w:rPr>
      </w:pPr>
    </w:p>
    <w:p w14:paraId="68B775C3" w14:textId="77777777" w:rsidR="00BA071B" w:rsidRDefault="00D17B80">
      <w:pPr>
        <w:numPr>
          <w:ilvl w:val="1"/>
          <w:numId w:val="7"/>
        </w:numPr>
        <w:tabs>
          <w:tab w:val="clear" w:pos="1440"/>
          <w:tab w:val="num" w:pos="1260"/>
        </w:tabs>
        <w:ind w:left="1260" w:hanging="540"/>
        <w:rPr>
          <w:b/>
        </w:rPr>
      </w:pPr>
      <w:r>
        <w:t>The Company will not be responsible for tracking or reporting on the Program for the benefit of the EGS.  Any actions taken by the Company to monitor the program will be completed on its own behalf.</w:t>
      </w:r>
    </w:p>
    <w:p w14:paraId="612DA6A2" w14:textId="77777777" w:rsidR="00BA071B" w:rsidRDefault="00BA071B">
      <w:pPr>
        <w:ind w:left="720"/>
        <w:rPr>
          <w:b/>
        </w:rPr>
      </w:pPr>
    </w:p>
    <w:p w14:paraId="2F5E8B2A" w14:textId="77777777" w:rsidR="00BA071B" w:rsidRDefault="00BA071B">
      <w:pPr>
        <w:ind w:left="720"/>
        <w:rPr>
          <w:b/>
        </w:rPr>
      </w:pPr>
    </w:p>
    <w:p w14:paraId="590D9CD4" w14:textId="77777777" w:rsidR="00BA071B" w:rsidRDefault="00D17B80">
      <w:pPr>
        <w:pStyle w:val="Heading1"/>
        <w:rPr>
          <w:b/>
          <w:bCs/>
          <w:sz w:val="28"/>
        </w:rPr>
      </w:pPr>
      <w:bookmarkStart w:id="38" w:name="_Toc349802711"/>
      <w:bookmarkStart w:id="39" w:name="_Toc350336544"/>
      <w:r>
        <w:rPr>
          <w:b/>
          <w:bCs/>
          <w:sz w:val="28"/>
        </w:rPr>
        <w:t>ARTICLE 9</w:t>
      </w:r>
      <w:r>
        <w:rPr>
          <w:b/>
          <w:bCs/>
          <w:sz w:val="28"/>
        </w:rPr>
        <w:br/>
        <w:t>RESERVED RIGHTS</w:t>
      </w:r>
      <w:bookmarkEnd w:id="38"/>
      <w:bookmarkEnd w:id="39"/>
    </w:p>
    <w:p w14:paraId="7A46514C" w14:textId="77777777" w:rsidR="00BA071B" w:rsidRDefault="00BA071B"/>
    <w:p w14:paraId="76A9BA1B" w14:textId="77777777" w:rsidR="00BA071B" w:rsidRDefault="00D17B80">
      <w:pPr>
        <w:numPr>
          <w:ilvl w:val="0"/>
          <w:numId w:val="7"/>
        </w:numPr>
        <w:rPr>
          <w:b/>
        </w:rPr>
      </w:pPr>
      <w:r>
        <w:rPr>
          <w:b/>
        </w:rPr>
        <w:t xml:space="preserve">Non-Binding Program </w:t>
      </w:r>
    </w:p>
    <w:p w14:paraId="6855946B" w14:textId="77777777" w:rsidR="00BA071B" w:rsidRDefault="00BA071B">
      <w:pPr>
        <w:rPr>
          <w:b/>
        </w:rPr>
      </w:pPr>
    </w:p>
    <w:p w14:paraId="362BBB64" w14:textId="77777777" w:rsidR="00BA071B" w:rsidRDefault="00D17B80">
      <w:pPr>
        <w:numPr>
          <w:ilvl w:val="1"/>
          <w:numId w:val="7"/>
        </w:numPr>
        <w:tabs>
          <w:tab w:val="clear" w:pos="1440"/>
          <w:tab w:val="num" w:pos="1260"/>
        </w:tabs>
        <w:ind w:left="1260" w:hanging="540"/>
        <w:rPr>
          <w:b/>
        </w:rPr>
      </w:pPr>
      <w:r>
        <w:t>Prior to the commencement of any SOP Period Program offering and with PA PUC approval, PPL Electric has the right to withdraw and terminate this Program without any liability or responsibility to any Participating EGS or any other party.</w:t>
      </w:r>
    </w:p>
    <w:p w14:paraId="46C0C218" w14:textId="77777777" w:rsidR="00BA071B" w:rsidRDefault="00BA071B">
      <w:pPr>
        <w:ind w:left="720"/>
        <w:rPr>
          <w:b/>
        </w:rPr>
      </w:pPr>
    </w:p>
    <w:p w14:paraId="6BE2F998" w14:textId="77777777" w:rsidR="00BA071B" w:rsidRDefault="00D17B80">
      <w:pPr>
        <w:numPr>
          <w:ilvl w:val="1"/>
          <w:numId w:val="7"/>
        </w:numPr>
        <w:tabs>
          <w:tab w:val="clear" w:pos="1440"/>
          <w:tab w:val="num" w:pos="1260"/>
        </w:tabs>
        <w:ind w:left="1260" w:hanging="540"/>
        <w:rPr>
          <w:b/>
        </w:rPr>
      </w:pPr>
      <w:r>
        <w:t>Subject to PA PUC approval, the Company reserves the right to accept or reject, in whole or in part, any and all Agreements, without any liability or responsibility to any Participating EGS or any other party, for reasonable cause including, but not limited to, adverse statutory changes or interpretations, issuance of new PA PUC orders and/or regulations, market conditions, etc., that preclude this Program from being implemented in substantially the manner described herein.  Pursuant to these SOP Rules, PPL Electric shall reject any documents or agreements, including but not limited to the Standard Offer Program Binding Participation Form and Standard Offer Program Contact Form, submitted in response to this Program that are incomplete, or do not conform to the requirements of this Program, or are submitted beyond the deadline for submission. If the SOP Binding Participation Form or Contact form are incomplete or do not conform to Program requirements, the EGS will be given written notice and will have 48 hours to cure non-conformance.  In no event shall cure period extend or toll the 5 business day qualification submission requirements (see Article 4 for details).</w:t>
      </w:r>
    </w:p>
    <w:p w14:paraId="7D8E251D" w14:textId="77777777" w:rsidR="00BA071B" w:rsidRDefault="00BA071B"/>
    <w:p w14:paraId="5132D520" w14:textId="77777777" w:rsidR="00BA071B" w:rsidRDefault="00D17B80">
      <w:pPr>
        <w:numPr>
          <w:ilvl w:val="1"/>
          <w:numId w:val="7"/>
        </w:numPr>
        <w:tabs>
          <w:tab w:val="clear" w:pos="1440"/>
          <w:tab w:val="num" w:pos="1260"/>
        </w:tabs>
        <w:ind w:left="1260" w:hanging="540"/>
        <w:rPr>
          <w:b/>
        </w:rPr>
      </w:pPr>
      <w:r>
        <w:t>All documents and agreements submitted by Participating EGSs in response to this Program will become the exclusive property of PPL Electric upon the receipt of such document(s).</w:t>
      </w:r>
    </w:p>
    <w:sectPr w:rsidR="00BA071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FFB8" w14:textId="77777777" w:rsidR="00ED7B97" w:rsidRDefault="00D17B80">
      <w:r>
        <w:separator/>
      </w:r>
    </w:p>
  </w:endnote>
  <w:endnote w:type="continuationSeparator" w:id="0">
    <w:p w14:paraId="75A6A17A" w14:textId="77777777" w:rsidR="00ED7B97" w:rsidRDefault="00D1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94B0" w14:textId="77777777" w:rsidR="00BA071B" w:rsidRDefault="00D17B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7A3CD889" w14:textId="77777777" w:rsidR="00BA071B" w:rsidRDefault="00BA0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2588" w14:textId="31F5650A" w:rsidR="00BA071B" w:rsidRDefault="00D17B80">
    <w:pPr>
      <w:pStyle w:val="Footer"/>
      <w:tabs>
        <w:tab w:val="clear" w:pos="4320"/>
        <w:tab w:val="clear" w:pos="8640"/>
        <w:tab w:val="left" w:pos="0"/>
        <w:tab w:val="center" w:pos="4500"/>
        <w:tab w:val="right" w:pos="9360"/>
      </w:tabs>
      <w:spacing w:before="120"/>
      <w:rPr>
        <w:sz w:val="20"/>
      </w:rPr>
    </w:pPr>
    <w:r>
      <w:rPr>
        <w:noProof/>
        <w:sz w:val="20"/>
      </w:rPr>
      <mc:AlternateContent>
        <mc:Choice Requires="wps">
          <w:drawing>
            <wp:anchor distT="0" distB="0" distL="114300" distR="114300" simplePos="1" relativeHeight="251660799" behindDoc="0" locked="0" layoutInCell="0" allowOverlap="1" wp14:anchorId="2E32089A" wp14:editId="0FCDC304">
              <wp:simplePos x="0" y="9594453"/>
              <wp:positionH relativeFrom="page">
                <wp:posOffset>0</wp:posOffset>
              </wp:positionH>
              <wp:positionV relativeFrom="page">
                <wp:posOffset>9594850</wp:posOffset>
              </wp:positionV>
              <wp:extent cx="7772400" cy="273050"/>
              <wp:effectExtent l="0" t="0" r="0" b="12700"/>
              <wp:wrapNone/>
              <wp:docPr id="12" name="MSIPCM3bf54571adf9403baa9c5cd1" descr="{&quot;HashCode&quot;:204787210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508255" w14:textId="60BF5F89" w:rsidR="00D17B80" w:rsidRPr="008B50C5" w:rsidRDefault="008B50C5" w:rsidP="008B50C5">
                          <w:pPr>
                            <w:rPr>
                              <w:rFonts w:ascii="Calibri" w:hAnsi="Calibri" w:cs="Calibri"/>
                              <w:color w:val="000000"/>
                              <w:sz w:val="28"/>
                            </w:rPr>
                          </w:pPr>
                          <w:r w:rsidRPr="008B50C5">
                            <w:rPr>
                              <w:rFonts w:ascii="Calibri" w:hAnsi="Calibri" w:cs="Calibri"/>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32089A" id="_x0000_t202" coordsize="21600,21600" o:spt="202" path="m,l,21600r21600,l21600,xe">
              <v:stroke joinstyle="miter"/>
              <v:path gradientshapeok="t" o:connecttype="rect"/>
            </v:shapetype>
            <v:shape id="MSIPCM3bf54571adf9403baa9c5cd1" o:spid="_x0000_s1026" type="#_x0000_t202" alt="{&quot;HashCode&quot;:2047872101,&quot;Height&quot;:792.0,&quot;Width&quot;:612.0,&quot;Placement&quot;:&quot;Footer&quot;,&quot;Index&quot;:&quot;Primary&quot;,&quot;Section&quot;:1,&quot;Top&quot;:0.0,&quot;Left&quot;:0.0}" style="position:absolute;margin-left:0;margin-top:755.5pt;width:612pt;height:21.5pt;z-index:25166079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" o:allowincell="f" filled="f" stroked="f" strokeweight=".5pt">
              <v:textbox inset="20pt,0,,0">
                <w:txbxContent>
                  <w:p w14:paraId="37508255" w14:textId="60BF5F89" w:rsidR="00D17B80" w:rsidRPr="008B50C5" w:rsidRDefault="008B50C5" w:rsidP="008B50C5">
                    <w:pPr>
                      <w:rPr>
                        <w:rFonts w:ascii="Calibri" w:hAnsi="Calibri" w:cs="Calibri"/>
                        <w:color w:val="000000"/>
                        <w:sz w:val="28"/>
                      </w:rPr>
                    </w:pPr>
                    <w:r w:rsidRPr="008B50C5">
                      <w:rPr>
                        <w:rFonts w:ascii="Calibri" w:hAnsi="Calibri" w:cs="Calibri"/>
                        <w:color w:val="000000"/>
                        <w:sz w:val="28"/>
                      </w:rPr>
                      <w:t>Business Use</w:t>
                    </w:r>
                  </w:p>
                </w:txbxContent>
              </v:textbox>
              <w10:wrap anchorx="page" anchory="page"/>
            </v:shape>
          </w:pict>
        </mc:Fallback>
      </mc:AlternateContent>
    </w:r>
    <w:r>
      <w:rPr>
        <w:sz w:val="20"/>
      </w:rPr>
      <w:t>PPL Electric Utilities Corporation</w:t>
    </w:r>
    <w:r>
      <w:rPr>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sz w:val="20"/>
      </w:rPr>
      <w:tab/>
      <w:t>Solar Aggregator RFP Process and Rule</w:t>
    </w:r>
  </w:p>
  <w:p w14:paraId="7781D394" w14:textId="77777777" w:rsidR="00BA071B" w:rsidRDefault="00D17B80">
    <w:pPr>
      <w:pStyle w:val="Footer"/>
      <w:tabs>
        <w:tab w:val="clear" w:pos="4320"/>
        <w:tab w:val="clear" w:pos="8640"/>
        <w:tab w:val="left" w:pos="0"/>
        <w:tab w:val="center" w:pos="4500"/>
        <w:tab w:val="right" w:pos="9360"/>
      </w:tabs>
      <w:jc w:val="right"/>
      <w:rPr>
        <w:sz w:val="20"/>
        <w:szCs w:val="20"/>
      </w:rPr>
    </w:pPr>
    <w:r>
      <w:rPr>
        <w:sz w:val="20"/>
        <w:szCs w:val="20"/>
      </w:rPr>
      <w:tab/>
    </w:r>
    <w:r>
      <w:rPr>
        <w:sz w:val="20"/>
        <w:szCs w:val="20"/>
      </w:rPr>
      <w:tab/>
      <w:t>February XX, 2010</w:t>
    </w:r>
  </w:p>
  <w:p w14:paraId="4A9EDAAA" w14:textId="77777777" w:rsidR="00BA071B" w:rsidRDefault="00D17B80">
    <w:pPr>
      <w:pStyle w:val="Footer"/>
      <w:tabs>
        <w:tab w:val="clear" w:pos="4320"/>
        <w:tab w:val="clear" w:pos="8640"/>
        <w:tab w:val="left" w:pos="0"/>
        <w:tab w:val="center" w:pos="4500"/>
        <w:tab w:val="right" w:pos="9360"/>
      </w:tabs>
      <w:rPr>
        <w:rStyle w:val="DocID"/>
      </w:rPr>
    </w:pPr>
    <w:r w:rsidRPr="009C0359">
      <w:rPr>
        <w:rStyle w:val="DocID"/>
      </w:rPr>
      <w:t>21379666v1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356A" w14:textId="4E6F2E06" w:rsidR="00BA071B" w:rsidRDefault="00D17B80">
    <w:pPr>
      <w:pStyle w:val="Footer"/>
      <w:tabs>
        <w:tab w:val="clear" w:pos="4320"/>
        <w:tab w:val="clear" w:pos="8640"/>
        <w:tab w:val="center" w:pos="4500"/>
        <w:tab w:val="right" w:pos="9360"/>
      </w:tabs>
      <w:jc w:val="right"/>
      <w:rPr>
        <w:sz w:val="20"/>
      </w:rPr>
    </w:pPr>
    <w:r>
      <w:rPr>
        <w:noProof/>
        <w:sz w:val="20"/>
      </w:rPr>
      <mc:AlternateContent>
        <mc:Choice Requires="wps">
          <w:drawing>
            <wp:anchor distT="0" distB="0" distL="114300" distR="114300" simplePos="0" relativeHeight="251661055" behindDoc="0" locked="0" layoutInCell="0" allowOverlap="1" wp14:anchorId="1A458DA0" wp14:editId="7D7E7917">
              <wp:simplePos x="0" y="0"/>
              <wp:positionH relativeFrom="page">
                <wp:posOffset>0</wp:posOffset>
              </wp:positionH>
              <wp:positionV relativeFrom="page">
                <wp:posOffset>9594850</wp:posOffset>
              </wp:positionV>
              <wp:extent cx="7772400" cy="273050"/>
              <wp:effectExtent l="0" t="0" r="0" b="12700"/>
              <wp:wrapNone/>
              <wp:docPr id="13" name="MSIPCM13a341ef882915567ebfa410" descr="{&quot;HashCode&quot;:2047872101,&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C22192" w14:textId="70A4CBC5" w:rsidR="00D17B80" w:rsidRPr="008B50C5" w:rsidRDefault="008B50C5" w:rsidP="008B50C5">
                          <w:pPr>
                            <w:rPr>
                              <w:rFonts w:ascii="Calibri" w:hAnsi="Calibri" w:cs="Calibri"/>
                              <w:color w:val="000000"/>
                              <w:sz w:val="28"/>
                            </w:rPr>
                          </w:pPr>
                          <w:r w:rsidRPr="008B50C5">
                            <w:rPr>
                              <w:rFonts w:ascii="Calibri" w:hAnsi="Calibri" w:cs="Calibri"/>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458DA0" id="_x0000_t202" coordsize="21600,21600" o:spt="202" path="m,l,21600r21600,l21600,xe">
              <v:stroke joinstyle="miter"/>
              <v:path gradientshapeok="t" o:connecttype="rect"/>
            </v:shapetype>
            <v:shape id="MSIPCM13a341ef882915567ebfa410" o:spid="_x0000_s1027" type="#_x0000_t202" alt="{&quot;HashCode&quot;:2047872101,&quot;Height&quot;:792.0,&quot;Width&quot;:612.0,&quot;Placement&quot;:&quot;Footer&quot;,&quot;Index&quot;:&quot;FirstPage&quot;,&quot;Section&quot;:1,&quot;Top&quot;:0.0,&quot;Left&quot;:0.0}" style="position:absolute;left:0;text-align:left;margin-left:0;margin-top:755.5pt;width:612pt;height:21.5pt;z-index:2516610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" o:allowincell="f" filled="f" stroked="f" strokeweight=".5pt">
              <v:textbox inset="20pt,0,,0">
                <w:txbxContent>
                  <w:p w14:paraId="2EC22192" w14:textId="70A4CBC5" w:rsidR="00D17B80" w:rsidRPr="008B50C5" w:rsidRDefault="008B50C5" w:rsidP="008B50C5">
                    <w:pPr>
                      <w:rPr>
                        <w:rFonts w:ascii="Calibri" w:hAnsi="Calibri" w:cs="Calibri"/>
                        <w:color w:val="000000"/>
                        <w:sz w:val="28"/>
                      </w:rPr>
                    </w:pPr>
                    <w:r w:rsidRPr="008B50C5">
                      <w:rPr>
                        <w:rFonts w:ascii="Calibri" w:hAnsi="Calibri" w:cs="Calibri"/>
                        <w:color w:val="000000"/>
                        <w:sz w:val="28"/>
                      </w:rPr>
                      <w:t>Business Use</w:t>
                    </w:r>
                  </w:p>
                </w:txbxContent>
              </v:textbox>
              <w10:wrap anchorx="page" anchory="page"/>
            </v:shape>
          </w:pict>
        </mc:Fallback>
      </mc:AlternateContent>
    </w:r>
    <w:r>
      <w:rPr>
        <w:sz w:val="20"/>
      </w:rPr>
      <w:t>PPL Electric Utilities Corporation</w:t>
    </w:r>
    <w:r>
      <w:rPr>
        <w:sz w:val="20"/>
      </w:rPr>
      <w:tab/>
    </w:r>
    <w:r>
      <w:rPr>
        <w:sz w:val="20"/>
      </w:rPr>
      <w:tab/>
      <w:t>Standard Offer Program Process &amp; Rules</w:t>
    </w:r>
    <w:r>
      <w:rPr>
        <w:sz w:val="20"/>
      </w:rPr>
      <w:tab/>
      <w:t xml:space="preserve"> </w:t>
    </w:r>
  </w:p>
  <w:p w14:paraId="5459F2DB" w14:textId="46C3805C" w:rsidR="00BA071B" w:rsidRDefault="008B50C5">
    <w:pPr>
      <w:pStyle w:val="Footer"/>
      <w:tabs>
        <w:tab w:val="clear" w:pos="4320"/>
        <w:tab w:val="clear" w:pos="8640"/>
        <w:tab w:val="center" w:pos="4500"/>
        <w:tab w:val="right" w:pos="9360"/>
      </w:tabs>
      <w:rPr>
        <w:rStyle w:val="DocID"/>
      </w:rPr>
    </w:pPr>
    <w:r>
      <w:rPr>
        <w:rStyle w:val="PageNumber"/>
        <w:sz w:val="20"/>
        <w:szCs w:val="20"/>
      </w:rPr>
      <w:t>06/01/2021</w:t>
    </w:r>
    <w:r w:rsidR="00D17B80">
      <w:rPr>
        <w:rStyle w:val="PageNumber"/>
        <w:sz w:val="20"/>
        <w:szCs w:val="20"/>
      </w:rPr>
      <w:tab/>
    </w:r>
    <w:r w:rsidR="00D17B80">
      <w:rPr>
        <w:rStyle w:val="PageNumber"/>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455D" w14:textId="66173054" w:rsidR="00BA071B" w:rsidRDefault="00D17B80">
    <w:pPr>
      <w:pStyle w:val="Footer"/>
      <w:tabs>
        <w:tab w:val="clear" w:pos="4320"/>
        <w:tab w:val="clear" w:pos="8640"/>
        <w:tab w:val="center" w:pos="4410"/>
        <w:tab w:val="right" w:pos="9360"/>
      </w:tabs>
      <w:rPr>
        <w:sz w:val="20"/>
      </w:rPr>
    </w:pPr>
    <w:r>
      <w:rPr>
        <w:noProof/>
        <w:sz w:val="20"/>
      </w:rPr>
      <mc:AlternateContent>
        <mc:Choice Requires="wps">
          <w:drawing>
            <wp:anchor distT="0" distB="0" distL="114300" distR="114300" simplePos="0" relativeHeight="251661312" behindDoc="0" locked="0" layoutInCell="0" allowOverlap="1" wp14:anchorId="22A6060C" wp14:editId="7AFA4396">
              <wp:simplePos x="0" y="0"/>
              <wp:positionH relativeFrom="page">
                <wp:posOffset>0</wp:posOffset>
              </wp:positionH>
              <wp:positionV relativeFrom="page">
                <wp:posOffset>9594850</wp:posOffset>
              </wp:positionV>
              <wp:extent cx="7772400" cy="273050"/>
              <wp:effectExtent l="0" t="0" r="0" b="12700"/>
              <wp:wrapNone/>
              <wp:docPr id="14" name="MSIPCMfe1c47389497488d47f8ea9a" descr="{&quot;HashCode&quot;:2047872101,&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A44B5E" w14:textId="004BB597" w:rsidR="00D17B80" w:rsidRPr="008B50C5" w:rsidRDefault="008B50C5" w:rsidP="008B50C5">
                          <w:pPr>
                            <w:rPr>
                              <w:rFonts w:ascii="Calibri" w:hAnsi="Calibri" w:cs="Calibri"/>
                              <w:color w:val="000000"/>
                              <w:sz w:val="28"/>
                            </w:rPr>
                          </w:pPr>
                          <w:r w:rsidRPr="008B50C5">
                            <w:rPr>
                              <w:rFonts w:ascii="Calibri" w:hAnsi="Calibri" w:cs="Calibri"/>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A6060C" id="_x0000_t202" coordsize="21600,21600" o:spt="202" path="m,l,21600r21600,l21600,xe">
              <v:stroke joinstyle="miter"/>
              <v:path gradientshapeok="t" o:connecttype="rect"/>
            </v:shapetype>
            <v:shape id="MSIPCMfe1c47389497488d47f8ea9a" o:spid="_x0000_s1028" type="#_x0000_t202" alt="{&quot;HashCode&quot;:2047872101,&quot;Height&quot;:792.0,&quot;Width&quot;:612.0,&quot;Placement&quot;:&quot;Footer&quot;,&quot;Index&quot;:&quot;Primary&quot;,&quot;Section&quot;:2,&quot;Top&quot;:0.0,&quot;Left&quot;:0.0}" style="position:absolute;margin-left:0;margin-top:755.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" o:allowincell="f" filled="f" stroked="f" strokeweight=".5pt">
              <v:textbox inset="20pt,0,,0">
                <w:txbxContent>
                  <w:p w14:paraId="44A44B5E" w14:textId="004BB597" w:rsidR="00D17B80" w:rsidRPr="008B50C5" w:rsidRDefault="008B50C5" w:rsidP="008B50C5">
                    <w:pPr>
                      <w:rPr>
                        <w:rFonts w:ascii="Calibri" w:hAnsi="Calibri" w:cs="Calibri"/>
                        <w:color w:val="000000"/>
                        <w:sz w:val="28"/>
                      </w:rPr>
                    </w:pPr>
                    <w:r w:rsidRPr="008B50C5">
                      <w:rPr>
                        <w:rFonts w:ascii="Calibri" w:hAnsi="Calibri" w:cs="Calibri"/>
                        <w:color w:val="000000"/>
                        <w:sz w:val="28"/>
                      </w:rPr>
                      <w:t>Business Use</w:t>
                    </w:r>
                  </w:p>
                </w:txbxContent>
              </v:textbox>
              <w10:wrap anchorx="page" anchory="page"/>
            </v:shape>
          </w:pict>
        </mc:Fallback>
      </mc:AlternateContent>
    </w:r>
    <w:r>
      <w:rPr>
        <w:sz w:val="20"/>
      </w:rPr>
      <w:t>PPL Electric Utilities Corporation</w:t>
    </w:r>
    <w:r>
      <w:rPr>
        <w:sz w:val="20"/>
      </w:rPr>
      <w:tab/>
    </w:r>
    <w:r>
      <w:rPr>
        <w:sz w:val="20"/>
      </w:rPr>
      <w:tab/>
      <w:t>Standard Offer Program Process &amp; Rules</w:t>
    </w:r>
  </w:p>
  <w:p w14:paraId="73D5D5E7" w14:textId="77777777" w:rsidR="00BA071B" w:rsidRDefault="00D17B80">
    <w:pPr>
      <w:pStyle w:val="Footer"/>
      <w:tabs>
        <w:tab w:val="clear" w:pos="4320"/>
        <w:tab w:val="clear" w:pos="8640"/>
        <w:tab w:val="center" w:pos="4410"/>
        <w:tab w:val="right" w:pos="9360"/>
      </w:tabs>
      <w:rPr>
        <w:noProof/>
        <w:sz w:val="20"/>
        <w:szCs w:val="20"/>
      </w:rPr>
    </w:pPr>
    <w:r>
      <w:rPr>
        <w:sz w:val="20"/>
        <w:szCs w:val="20"/>
      </w:rPr>
      <w:tab/>
    </w:r>
    <w:r>
      <w:rPr>
        <w:sz w:val="20"/>
        <w:szCs w:val="20"/>
      </w:rPr>
      <w:tab/>
      <w:t xml:space="preserve">Page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16</w:t>
    </w:r>
    <w:r>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3E8F" w14:textId="77777777" w:rsidR="007B2083" w:rsidRDefault="00D17B80">
      <w:r>
        <w:separator/>
      </w:r>
    </w:p>
  </w:footnote>
  <w:footnote w:type="continuationSeparator" w:id="0">
    <w:p w14:paraId="7C005C44" w14:textId="77777777" w:rsidR="007B2083" w:rsidRDefault="00D17B80">
      <w:r>
        <w:continuationSeparator/>
      </w:r>
    </w:p>
  </w:footnote>
  <w:footnote w:id="1">
    <w:p w14:paraId="12493FB7" w14:textId="77777777" w:rsidR="00BA071B" w:rsidRDefault="00D17B80">
      <w:pPr>
        <w:pStyle w:val="FootnoteText"/>
      </w:pPr>
      <w:r>
        <w:rPr>
          <w:rStyle w:val="FootnoteReference"/>
        </w:rPr>
        <w:footnoteRef/>
      </w:r>
      <w:r>
        <w:t xml:space="preserve"> OnTrack is PPL Electric Customer Assistance Prrogram.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2A24" w14:textId="77777777" w:rsidR="008B50C5" w:rsidRDefault="008B5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D7AC" w14:textId="77777777" w:rsidR="008B50C5" w:rsidRDefault="008B5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DCE8" w14:textId="77777777" w:rsidR="008B50C5" w:rsidRDefault="008B50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D9F3" w14:textId="77777777" w:rsidR="00BA071B" w:rsidRDefault="00BA07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4593" w14:textId="77777777" w:rsidR="00BA071B" w:rsidRDefault="00BA07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A3E6" w14:textId="77777777" w:rsidR="00BA071B" w:rsidRDefault="00BA0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C3C4B5C"/>
    <w:lvl w:ilvl="0">
      <w:start w:val="1"/>
      <w:numFmt w:val="bullet"/>
      <w:pStyle w:val="ListBullet4"/>
      <w:lvlText w:val=""/>
      <w:lvlJc w:val="left"/>
      <w:pPr>
        <w:tabs>
          <w:tab w:val="num" w:pos="1440"/>
        </w:tabs>
        <w:ind w:left="1440" w:hanging="360"/>
      </w:pPr>
      <w:rPr>
        <w:rFonts w:ascii="Symbol" w:hAnsi="Symbol" w:hint="default"/>
        <w:sz w:val="20"/>
      </w:rPr>
    </w:lvl>
  </w:abstractNum>
  <w:abstractNum w:abstractNumId="1" w15:restartNumberingAfterBreak="0">
    <w:nsid w:val="07A440C0"/>
    <w:multiLevelType w:val="multilevel"/>
    <w:tmpl w:val="E904F37E"/>
    <w:name w:val="Numbers"/>
    <w:lvl w:ilvl="0">
      <w:start w:val="1"/>
      <w:numFmt w:val="decimal"/>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900BAB"/>
    <w:multiLevelType w:val="hybridMultilevel"/>
    <w:tmpl w:val="678605A6"/>
    <w:lvl w:ilvl="0" w:tplc="758AAEF6">
      <w:start w:val="1"/>
      <w:numFmt w:val="lowerRoman"/>
      <w:lvlText w:val="(%1)"/>
      <w:lvlJc w:val="left"/>
      <w:pPr>
        <w:tabs>
          <w:tab w:val="num" w:pos="3168"/>
        </w:tabs>
        <w:ind w:left="3168" w:hanging="720"/>
      </w:pPr>
      <w:rPr>
        <w:rFonts w:hint="default"/>
      </w:rPr>
    </w:lvl>
    <w:lvl w:ilvl="1" w:tplc="9CF603E2">
      <w:start w:val="1"/>
      <w:numFmt w:val="decimal"/>
      <w:lvlText w:val="(%2)"/>
      <w:lvlJc w:val="left"/>
      <w:pPr>
        <w:tabs>
          <w:tab w:val="num" w:pos="3528"/>
        </w:tabs>
        <w:ind w:left="3528" w:hanging="360"/>
      </w:pPr>
      <w:rPr>
        <w:rFonts w:hint="default"/>
      </w:rPr>
    </w:lvl>
    <w:lvl w:ilvl="2" w:tplc="6D524F52">
      <w:start w:val="1"/>
      <w:numFmt w:val="lowerLetter"/>
      <w:lvlText w:val="%3."/>
      <w:lvlJc w:val="left"/>
      <w:pPr>
        <w:tabs>
          <w:tab w:val="num" w:pos="4428"/>
        </w:tabs>
        <w:ind w:left="4428" w:hanging="360"/>
      </w:pPr>
      <w:rPr>
        <w:rFonts w:hint="default"/>
      </w:rPr>
    </w:lvl>
    <w:lvl w:ilvl="3" w:tplc="5C521CB6" w:tentative="1">
      <w:start w:val="1"/>
      <w:numFmt w:val="decimal"/>
      <w:lvlText w:val="%4."/>
      <w:lvlJc w:val="left"/>
      <w:pPr>
        <w:tabs>
          <w:tab w:val="num" w:pos="4968"/>
        </w:tabs>
        <w:ind w:left="4968" w:hanging="360"/>
      </w:pPr>
    </w:lvl>
    <w:lvl w:ilvl="4" w:tplc="B6847F82" w:tentative="1">
      <w:start w:val="1"/>
      <w:numFmt w:val="lowerLetter"/>
      <w:lvlText w:val="%5."/>
      <w:lvlJc w:val="left"/>
      <w:pPr>
        <w:tabs>
          <w:tab w:val="num" w:pos="5688"/>
        </w:tabs>
        <w:ind w:left="5688" w:hanging="360"/>
      </w:pPr>
    </w:lvl>
    <w:lvl w:ilvl="5" w:tplc="2EC83D90" w:tentative="1">
      <w:start w:val="1"/>
      <w:numFmt w:val="lowerRoman"/>
      <w:lvlText w:val="%6."/>
      <w:lvlJc w:val="right"/>
      <w:pPr>
        <w:tabs>
          <w:tab w:val="num" w:pos="6408"/>
        </w:tabs>
        <w:ind w:left="6408" w:hanging="180"/>
      </w:pPr>
    </w:lvl>
    <w:lvl w:ilvl="6" w:tplc="4CE42050" w:tentative="1">
      <w:start w:val="1"/>
      <w:numFmt w:val="decimal"/>
      <w:lvlText w:val="%7."/>
      <w:lvlJc w:val="left"/>
      <w:pPr>
        <w:tabs>
          <w:tab w:val="num" w:pos="7128"/>
        </w:tabs>
        <w:ind w:left="7128" w:hanging="360"/>
      </w:pPr>
    </w:lvl>
    <w:lvl w:ilvl="7" w:tplc="15B6704C" w:tentative="1">
      <w:start w:val="1"/>
      <w:numFmt w:val="lowerLetter"/>
      <w:lvlText w:val="%8."/>
      <w:lvlJc w:val="left"/>
      <w:pPr>
        <w:tabs>
          <w:tab w:val="num" w:pos="7848"/>
        </w:tabs>
        <w:ind w:left="7848" w:hanging="360"/>
      </w:pPr>
    </w:lvl>
    <w:lvl w:ilvl="8" w:tplc="B09245A4" w:tentative="1">
      <w:start w:val="1"/>
      <w:numFmt w:val="lowerRoman"/>
      <w:lvlText w:val="%9."/>
      <w:lvlJc w:val="right"/>
      <w:pPr>
        <w:tabs>
          <w:tab w:val="num" w:pos="8568"/>
        </w:tabs>
        <w:ind w:left="8568" w:hanging="180"/>
      </w:pPr>
    </w:lvl>
  </w:abstractNum>
  <w:abstractNum w:abstractNumId="3" w15:restartNumberingAfterBreak="0">
    <w:nsid w:val="198E15F3"/>
    <w:multiLevelType w:val="hybridMultilevel"/>
    <w:tmpl w:val="A544895A"/>
    <w:lvl w:ilvl="0" w:tplc="2C3EB872">
      <w:start w:val="1"/>
      <w:numFmt w:val="bullet"/>
      <w:lvlText w:val="­"/>
      <w:lvlJc w:val="left"/>
      <w:pPr>
        <w:tabs>
          <w:tab w:val="num" w:pos="720"/>
        </w:tabs>
        <w:ind w:left="720" w:hanging="360"/>
      </w:pPr>
      <w:rPr>
        <w:rFonts w:ascii="Courier New" w:hAnsi="Courier New" w:hint="default"/>
      </w:rPr>
    </w:lvl>
    <w:lvl w:ilvl="1" w:tplc="952E90F2" w:tentative="1">
      <w:start w:val="1"/>
      <w:numFmt w:val="bullet"/>
      <w:lvlText w:val="o"/>
      <w:lvlJc w:val="left"/>
      <w:pPr>
        <w:tabs>
          <w:tab w:val="num" w:pos="1440"/>
        </w:tabs>
        <w:ind w:left="1440" w:hanging="360"/>
      </w:pPr>
      <w:rPr>
        <w:rFonts w:ascii="Courier New" w:hAnsi="Courier New" w:cs="Courier New" w:hint="default"/>
      </w:rPr>
    </w:lvl>
    <w:lvl w:ilvl="2" w:tplc="08AE6D52" w:tentative="1">
      <w:start w:val="1"/>
      <w:numFmt w:val="bullet"/>
      <w:lvlText w:val=""/>
      <w:lvlJc w:val="left"/>
      <w:pPr>
        <w:tabs>
          <w:tab w:val="num" w:pos="2160"/>
        </w:tabs>
        <w:ind w:left="2160" w:hanging="360"/>
      </w:pPr>
      <w:rPr>
        <w:rFonts w:ascii="Wingdings" w:hAnsi="Wingdings" w:hint="default"/>
      </w:rPr>
    </w:lvl>
    <w:lvl w:ilvl="3" w:tplc="39D649B0" w:tentative="1">
      <w:start w:val="1"/>
      <w:numFmt w:val="bullet"/>
      <w:lvlText w:val=""/>
      <w:lvlJc w:val="left"/>
      <w:pPr>
        <w:tabs>
          <w:tab w:val="num" w:pos="2880"/>
        </w:tabs>
        <w:ind w:left="2880" w:hanging="360"/>
      </w:pPr>
      <w:rPr>
        <w:rFonts w:ascii="Symbol" w:hAnsi="Symbol" w:hint="default"/>
      </w:rPr>
    </w:lvl>
    <w:lvl w:ilvl="4" w:tplc="4064C950" w:tentative="1">
      <w:start w:val="1"/>
      <w:numFmt w:val="bullet"/>
      <w:lvlText w:val="o"/>
      <w:lvlJc w:val="left"/>
      <w:pPr>
        <w:tabs>
          <w:tab w:val="num" w:pos="3600"/>
        </w:tabs>
        <w:ind w:left="3600" w:hanging="360"/>
      </w:pPr>
      <w:rPr>
        <w:rFonts w:ascii="Courier New" w:hAnsi="Courier New" w:cs="Courier New" w:hint="default"/>
      </w:rPr>
    </w:lvl>
    <w:lvl w:ilvl="5" w:tplc="AF0CED42" w:tentative="1">
      <w:start w:val="1"/>
      <w:numFmt w:val="bullet"/>
      <w:lvlText w:val=""/>
      <w:lvlJc w:val="left"/>
      <w:pPr>
        <w:tabs>
          <w:tab w:val="num" w:pos="4320"/>
        </w:tabs>
        <w:ind w:left="4320" w:hanging="360"/>
      </w:pPr>
      <w:rPr>
        <w:rFonts w:ascii="Wingdings" w:hAnsi="Wingdings" w:hint="default"/>
      </w:rPr>
    </w:lvl>
    <w:lvl w:ilvl="6" w:tplc="BC8CF2B6" w:tentative="1">
      <w:start w:val="1"/>
      <w:numFmt w:val="bullet"/>
      <w:lvlText w:val=""/>
      <w:lvlJc w:val="left"/>
      <w:pPr>
        <w:tabs>
          <w:tab w:val="num" w:pos="5040"/>
        </w:tabs>
        <w:ind w:left="5040" w:hanging="360"/>
      </w:pPr>
      <w:rPr>
        <w:rFonts w:ascii="Symbol" w:hAnsi="Symbol" w:hint="default"/>
      </w:rPr>
    </w:lvl>
    <w:lvl w:ilvl="7" w:tplc="EA94AD82" w:tentative="1">
      <w:start w:val="1"/>
      <w:numFmt w:val="bullet"/>
      <w:lvlText w:val="o"/>
      <w:lvlJc w:val="left"/>
      <w:pPr>
        <w:tabs>
          <w:tab w:val="num" w:pos="5760"/>
        </w:tabs>
        <w:ind w:left="5760" w:hanging="360"/>
      </w:pPr>
      <w:rPr>
        <w:rFonts w:ascii="Courier New" w:hAnsi="Courier New" w:cs="Courier New" w:hint="default"/>
      </w:rPr>
    </w:lvl>
    <w:lvl w:ilvl="8" w:tplc="EF24B87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E54F9"/>
    <w:multiLevelType w:val="hybridMultilevel"/>
    <w:tmpl w:val="1CA0A296"/>
    <w:lvl w:ilvl="0" w:tplc="6B2024F4">
      <w:start w:val="1"/>
      <w:numFmt w:val="bullet"/>
      <w:lvlText w:val=""/>
      <w:lvlJc w:val="left"/>
      <w:pPr>
        <w:tabs>
          <w:tab w:val="num" w:pos="2088"/>
        </w:tabs>
        <w:ind w:left="2088" w:hanging="360"/>
      </w:pPr>
      <w:rPr>
        <w:rFonts w:ascii="Symbol" w:hAnsi="Symbol" w:hint="default"/>
      </w:rPr>
    </w:lvl>
    <w:lvl w:ilvl="1" w:tplc="21D07386">
      <w:start w:val="1"/>
      <w:numFmt w:val="bullet"/>
      <w:lvlText w:val="o"/>
      <w:lvlJc w:val="left"/>
      <w:pPr>
        <w:tabs>
          <w:tab w:val="num" w:pos="2808"/>
        </w:tabs>
        <w:ind w:left="2808" w:hanging="360"/>
      </w:pPr>
      <w:rPr>
        <w:rFonts w:ascii="Courier New" w:hAnsi="Courier New" w:cs="Courier New" w:hint="default"/>
      </w:rPr>
    </w:lvl>
    <w:lvl w:ilvl="2" w:tplc="72C20AB6" w:tentative="1">
      <w:start w:val="1"/>
      <w:numFmt w:val="bullet"/>
      <w:lvlText w:val=""/>
      <w:lvlJc w:val="left"/>
      <w:pPr>
        <w:tabs>
          <w:tab w:val="num" w:pos="3528"/>
        </w:tabs>
        <w:ind w:left="3528" w:hanging="360"/>
      </w:pPr>
      <w:rPr>
        <w:rFonts w:ascii="Wingdings" w:hAnsi="Wingdings" w:hint="default"/>
      </w:rPr>
    </w:lvl>
    <w:lvl w:ilvl="3" w:tplc="25EC2090" w:tentative="1">
      <w:start w:val="1"/>
      <w:numFmt w:val="bullet"/>
      <w:lvlText w:val=""/>
      <w:lvlJc w:val="left"/>
      <w:pPr>
        <w:tabs>
          <w:tab w:val="num" w:pos="4248"/>
        </w:tabs>
        <w:ind w:left="4248" w:hanging="360"/>
      </w:pPr>
      <w:rPr>
        <w:rFonts w:ascii="Symbol" w:hAnsi="Symbol" w:hint="default"/>
      </w:rPr>
    </w:lvl>
    <w:lvl w:ilvl="4" w:tplc="7682FB5E" w:tentative="1">
      <w:start w:val="1"/>
      <w:numFmt w:val="bullet"/>
      <w:lvlText w:val="o"/>
      <w:lvlJc w:val="left"/>
      <w:pPr>
        <w:tabs>
          <w:tab w:val="num" w:pos="4968"/>
        </w:tabs>
        <w:ind w:left="4968" w:hanging="360"/>
      </w:pPr>
      <w:rPr>
        <w:rFonts w:ascii="Courier New" w:hAnsi="Courier New" w:cs="Courier New" w:hint="default"/>
      </w:rPr>
    </w:lvl>
    <w:lvl w:ilvl="5" w:tplc="CEFE813C" w:tentative="1">
      <w:start w:val="1"/>
      <w:numFmt w:val="bullet"/>
      <w:lvlText w:val=""/>
      <w:lvlJc w:val="left"/>
      <w:pPr>
        <w:tabs>
          <w:tab w:val="num" w:pos="5688"/>
        </w:tabs>
        <w:ind w:left="5688" w:hanging="360"/>
      </w:pPr>
      <w:rPr>
        <w:rFonts w:ascii="Wingdings" w:hAnsi="Wingdings" w:hint="default"/>
      </w:rPr>
    </w:lvl>
    <w:lvl w:ilvl="6" w:tplc="55FAB128" w:tentative="1">
      <w:start w:val="1"/>
      <w:numFmt w:val="bullet"/>
      <w:lvlText w:val=""/>
      <w:lvlJc w:val="left"/>
      <w:pPr>
        <w:tabs>
          <w:tab w:val="num" w:pos="6408"/>
        </w:tabs>
        <w:ind w:left="6408" w:hanging="360"/>
      </w:pPr>
      <w:rPr>
        <w:rFonts w:ascii="Symbol" w:hAnsi="Symbol" w:hint="default"/>
      </w:rPr>
    </w:lvl>
    <w:lvl w:ilvl="7" w:tplc="DD464E08" w:tentative="1">
      <w:start w:val="1"/>
      <w:numFmt w:val="bullet"/>
      <w:lvlText w:val="o"/>
      <w:lvlJc w:val="left"/>
      <w:pPr>
        <w:tabs>
          <w:tab w:val="num" w:pos="7128"/>
        </w:tabs>
        <w:ind w:left="7128" w:hanging="360"/>
      </w:pPr>
      <w:rPr>
        <w:rFonts w:ascii="Courier New" w:hAnsi="Courier New" w:cs="Courier New" w:hint="default"/>
      </w:rPr>
    </w:lvl>
    <w:lvl w:ilvl="8" w:tplc="1D522838" w:tentative="1">
      <w:start w:val="1"/>
      <w:numFmt w:val="bullet"/>
      <w:lvlText w:val=""/>
      <w:lvlJc w:val="left"/>
      <w:pPr>
        <w:tabs>
          <w:tab w:val="num" w:pos="7848"/>
        </w:tabs>
        <w:ind w:left="7848" w:hanging="360"/>
      </w:pPr>
      <w:rPr>
        <w:rFonts w:ascii="Wingdings" w:hAnsi="Wingdings" w:hint="default"/>
      </w:rPr>
    </w:lvl>
  </w:abstractNum>
  <w:abstractNum w:abstractNumId="5" w15:restartNumberingAfterBreak="0">
    <w:nsid w:val="49A90B3F"/>
    <w:multiLevelType w:val="hybridMultilevel"/>
    <w:tmpl w:val="1B640BD8"/>
    <w:lvl w:ilvl="0" w:tplc="5754CAC4">
      <w:numFmt w:val="bullet"/>
      <w:lvlText w:val="-"/>
      <w:lvlJc w:val="left"/>
      <w:pPr>
        <w:ind w:left="720" w:hanging="360"/>
      </w:pPr>
      <w:rPr>
        <w:rFonts w:ascii="Times New Roman" w:eastAsia="Times New Roman" w:hAnsi="Times New Roman" w:cs="Times New Roman" w:hint="default"/>
      </w:rPr>
    </w:lvl>
    <w:lvl w:ilvl="1" w:tplc="72DE4C70" w:tentative="1">
      <w:start w:val="1"/>
      <w:numFmt w:val="bullet"/>
      <w:lvlText w:val="o"/>
      <w:lvlJc w:val="left"/>
      <w:pPr>
        <w:ind w:left="1440" w:hanging="360"/>
      </w:pPr>
      <w:rPr>
        <w:rFonts w:ascii="Courier New" w:hAnsi="Courier New" w:cs="Courier New" w:hint="default"/>
      </w:rPr>
    </w:lvl>
    <w:lvl w:ilvl="2" w:tplc="F5F4168C" w:tentative="1">
      <w:start w:val="1"/>
      <w:numFmt w:val="bullet"/>
      <w:lvlText w:val=""/>
      <w:lvlJc w:val="left"/>
      <w:pPr>
        <w:ind w:left="2160" w:hanging="360"/>
      </w:pPr>
      <w:rPr>
        <w:rFonts w:ascii="Wingdings" w:hAnsi="Wingdings" w:hint="default"/>
      </w:rPr>
    </w:lvl>
    <w:lvl w:ilvl="3" w:tplc="3E5CC126" w:tentative="1">
      <w:start w:val="1"/>
      <w:numFmt w:val="bullet"/>
      <w:lvlText w:val=""/>
      <w:lvlJc w:val="left"/>
      <w:pPr>
        <w:ind w:left="2880" w:hanging="360"/>
      </w:pPr>
      <w:rPr>
        <w:rFonts w:ascii="Symbol" w:hAnsi="Symbol" w:hint="default"/>
      </w:rPr>
    </w:lvl>
    <w:lvl w:ilvl="4" w:tplc="44F25472" w:tentative="1">
      <w:start w:val="1"/>
      <w:numFmt w:val="bullet"/>
      <w:lvlText w:val="o"/>
      <w:lvlJc w:val="left"/>
      <w:pPr>
        <w:ind w:left="3600" w:hanging="360"/>
      </w:pPr>
      <w:rPr>
        <w:rFonts w:ascii="Courier New" w:hAnsi="Courier New" w:cs="Courier New" w:hint="default"/>
      </w:rPr>
    </w:lvl>
    <w:lvl w:ilvl="5" w:tplc="1D5CB3EC" w:tentative="1">
      <w:start w:val="1"/>
      <w:numFmt w:val="bullet"/>
      <w:lvlText w:val=""/>
      <w:lvlJc w:val="left"/>
      <w:pPr>
        <w:ind w:left="4320" w:hanging="360"/>
      </w:pPr>
      <w:rPr>
        <w:rFonts w:ascii="Wingdings" w:hAnsi="Wingdings" w:hint="default"/>
      </w:rPr>
    </w:lvl>
    <w:lvl w:ilvl="6" w:tplc="D9AE64E6" w:tentative="1">
      <w:start w:val="1"/>
      <w:numFmt w:val="bullet"/>
      <w:lvlText w:val=""/>
      <w:lvlJc w:val="left"/>
      <w:pPr>
        <w:ind w:left="5040" w:hanging="360"/>
      </w:pPr>
      <w:rPr>
        <w:rFonts w:ascii="Symbol" w:hAnsi="Symbol" w:hint="default"/>
      </w:rPr>
    </w:lvl>
    <w:lvl w:ilvl="7" w:tplc="444A56FE" w:tentative="1">
      <w:start w:val="1"/>
      <w:numFmt w:val="bullet"/>
      <w:lvlText w:val="o"/>
      <w:lvlJc w:val="left"/>
      <w:pPr>
        <w:ind w:left="5760" w:hanging="360"/>
      </w:pPr>
      <w:rPr>
        <w:rFonts w:ascii="Courier New" w:hAnsi="Courier New" w:cs="Courier New" w:hint="default"/>
      </w:rPr>
    </w:lvl>
    <w:lvl w:ilvl="8" w:tplc="DDAA5880" w:tentative="1">
      <w:start w:val="1"/>
      <w:numFmt w:val="bullet"/>
      <w:lvlText w:val=""/>
      <w:lvlJc w:val="left"/>
      <w:pPr>
        <w:ind w:left="6480" w:hanging="360"/>
      </w:pPr>
      <w:rPr>
        <w:rFonts w:ascii="Wingdings" w:hAnsi="Wingdings" w:hint="default"/>
      </w:rPr>
    </w:lvl>
  </w:abstractNum>
  <w:abstractNum w:abstractNumId="6" w15:restartNumberingAfterBreak="0">
    <w:nsid w:val="58B85927"/>
    <w:multiLevelType w:val="hybridMultilevel"/>
    <w:tmpl w:val="2F425D0A"/>
    <w:lvl w:ilvl="0" w:tplc="CE5AEB4A">
      <w:start w:val="1"/>
      <w:numFmt w:val="decimal"/>
      <w:lvlText w:val="%1)"/>
      <w:lvlJc w:val="left"/>
      <w:pPr>
        <w:ind w:left="720" w:hanging="360"/>
      </w:pPr>
      <w:rPr>
        <w:rFonts w:hint="default"/>
      </w:rPr>
    </w:lvl>
    <w:lvl w:ilvl="1" w:tplc="3D1E3264" w:tentative="1">
      <w:start w:val="1"/>
      <w:numFmt w:val="lowerLetter"/>
      <w:lvlText w:val="%2."/>
      <w:lvlJc w:val="left"/>
      <w:pPr>
        <w:ind w:left="1440" w:hanging="360"/>
      </w:pPr>
    </w:lvl>
    <w:lvl w:ilvl="2" w:tplc="7B18B52C" w:tentative="1">
      <w:start w:val="1"/>
      <w:numFmt w:val="lowerRoman"/>
      <w:lvlText w:val="%3."/>
      <w:lvlJc w:val="right"/>
      <w:pPr>
        <w:ind w:left="2160" w:hanging="180"/>
      </w:pPr>
    </w:lvl>
    <w:lvl w:ilvl="3" w:tplc="FF2A7DB6" w:tentative="1">
      <w:start w:val="1"/>
      <w:numFmt w:val="decimal"/>
      <w:lvlText w:val="%4."/>
      <w:lvlJc w:val="left"/>
      <w:pPr>
        <w:ind w:left="2880" w:hanging="360"/>
      </w:pPr>
    </w:lvl>
    <w:lvl w:ilvl="4" w:tplc="265AA282" w:tentative="1">
      <w:start w:val="1"/>
      <w:numFmt w:val="lowerLetter"/>
      <w:lvlText w:val="%5."/>
      <w:lvlJc w:val="left"/>
      <w:pPr>
        <w:ind w:left="3600" w:hanging="360"/>
      </w:pPr>
    </w:lvl>
    <w:lvl w:ilvl="5" w:tplc="E9CCDBE6" w:tentative="1">
      <w:start w:val="1"/>
      <w:numFmt w:val="lowerRoman"/>
      <w:lvlText w:val="%6."/>
      <w:lvlJc w:val="right"/>
      <w:pPr>
        <w:ind w:left="4320" w:hanging="180"/>
      </w:pPr>
    </w:lvl>
    <w:lvl w:ilvl="6" w:tplc="93EA0448" w:tentative="1">
      <w:start w:val="1"/>
      <w:numFmt w:val="decimal"/>
      <w:lvlText w:val="%7."/>
      <w:lvlJc w:val="left"/>
      <w:pPr>
        <w:ind w:left="5040" w:hanging="360"/>
      </w:pPr>
    </w:lvl>
    <w:lvl w:ilvl="7" w:tplc="9D24EE30" w:tentative="1">
      <w:start w:val="1"/>
      <w:numFmt w:val="lowerLetter"/>
      <w:lvlText w:val="%8."/>
      <w:lvlJc w:val="left"/>
      <w:pPr>
        <w:ind w:left="5760" w:hanging="360"/>
      </w:pPr>
    </w:lvl>
    <w:lvl w:ilvl="8" w:tplc="4BF8CE5C" w:tentative="1">
      <w:start w:val="1"/>
      <w:numFmt w:val="lowerRoman"/>
      <w:lvlText w:val="%9."/>
      <w:lvlJc w:val="right"/>
      <w:pPr>
        <w:ind w:left="6480" w:hanging="180"/>
      </w:pPr>
    </w:lvl>
  </w:abstractNum>
  <w:abstractNum w:abstractNumId="7" w15:restartNumberingAfterBreak="0">
    <w:nsid w:val="62BE5AE2"/>
    <w:multiLevelType w:val="multilevel"/>
    <w:tmpl w:val="D6645624"/>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284"/>
        </w:tabs>
        <w:ind w:left="1284" w:hanging="42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312"/>
        </w:tabs>
        <w:ind w:left="3312" w:hanging="72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488"/>
        </w:tabs>
        <w:ind w:left="7488" w:hanging="1440"/>
      </w:pPr>
      <w:rPr>
        <w:rFonts w:hint="default"/>
      </w:rPr>
    </w:lvl>
    <w:lvl w:ilvl="8">
      <w:start w:val="1"/>
      <w:numFmt w:val="decimal"/>
      <w:lvlText w:val="%1.%2.%3.%4.%5.%6.%7.%8.%9"/>
      <w:lvlJc w:val="left"/>
      <w:pPr>
        <w:tabs>
          <w:tab w:val="num" w:pos="8712"/>
        </w:tabs>
        <w:ind w:left="8712" w:hanging="1800"/>
      </w:pPr>
      <w:rPr>
        <w:rFonts w:hint="default"/>
      </w:rPr>
    </w:lvl>
  </w:abstractNum>
  <w:abstractNum w:abstractNumId="8" w15:restartNumberingAfterBreak="0">
    <w:nsid w:val="645729C7"/>
    <w:multiLevelType w:val="multilevel"/>
    <w:tmpl w:val="DBD63F74"/>
    <w:lvl w:ilvl="0">
      <w:start w:val="2"/>
      <w:numFmt w:val="decimal"/>
      <w:pStyle w:val="221"/>
      <w:lvlText w:val="%1"/>
      <w:lvlJc w:val="left"/>
      <w:pPr>
        <w:tabs>
          <w:tab w:val="num" w:pos="360"/>
        </w:tabs>
        <w:ind w:left="360" w:hanging="360"/>
      </w:pPr>
      <w:rPr>
        <w:rFonts w:hint="default"/>
      </w:rPr>
    </w:lvl>
    <w:lvl w:ilvl="1">
      <w:start w:val="1"/>
      <w:numFmt w:val="decimal"/>
      <w:lvlText w:val="%1.%2"/>
      <w:lvlJc w:val="left"/>
      <w:pPr>
        <w:tabs>
          <w:tab w:val="num" w:pos="1418"/>
        </w:tabs>
        <w:ind w:left="1418" w:hanging="1418"/>
      </w:pPr>
      <w:rPr>
        <w:rFonts w:hint="default"/>
      </w:rPr>
    </w:lvl>
    <w:lvl w:ilvl="2">
      <w:start w:val="1"/>
      <w:numFmt w:val="decimal"/>
      <w:pStyle w:val="221"/>
      <w:isLgl/>
      <w:lvlText w:val="%1.2.1"/>
      <w:lvlJc w:val="left"/>
      <w:pPr>
        <w:tabs>
          <w:tab w:val="num" w:pos="907"/>
        </w:tabs>
        <w:ind w:left="907" w:hanging="907"/>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7C342D45"/>
    <w:multiLevelType w:val="multilevel"/>
    <w:tmpl w:val="B1C69B3A"/>
    <w:lvl w:ilvl="0">
      <w:start w:val="1"/>
      <w:numFmt w:val="decimal"/>
      <w:pStyle w:val="StyleOutlinenumber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StyleOutlinenumbered"/>
      <w:lvlText w:val="%1.%2.%3"/>
      <w:lvlJc w:val="left"/>
      <w:pPr>
        <w:tabs>
          <w:tab w:val="num" w:pos="900"/>
        </w:tabs>
        <w:ind w:left="6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D190BD8"/>
    <w:multiLevelType w:val="multilevel"/>
    <w:tmpl w:val="41C221AE"/>
    <w:lvl w:ilvl="0">
      <w:start w:val="6"/>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1"/>
  </w:num>
  <w:num w:numId="3">
    <w:abstractNumId w:val="8"/>
  </w:num>
  <w:num w:numId="4">
    <w:abstractNumId w:val="4"/>
  </w:num>
  <w:num w:numId="5">
    <w:abstractNumId w:val="7"/>
  </w:num>
  <w:num w:numId="6">
    <w:abstractNumId w:val="2"/>
  </w:num>
  <w:num w:numId="7">
    <w:abstractNumId w:val="10"/>
  </w:num>
  <w:num w:numId="8">
    <w:abstractNumId w:val="3"/>
  </w:num>
  <w:num w:numId="9">
    <w:abstractNumId w:val="0"/>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DateAndTime/>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64"/>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1B"/>
    <w:rsid w:val="000B155F"/>
    <w:rsid w:val="000B7FAD"/>
    <w:rsid w:val="000E330C"/>
    <w:rsid w:val="001457F0"/>
    <w:rsid w:val="00160C15"/>
    <w:rsid w:val="00165F6B"/>
    <w:rsid w:val="002C4F2F"/>
    <w:rsid w:val="002E69A4"/>
    <w:rsid w:val="00341E95"/>
    <w:rsid w:val="003C24AC"/>
    <w:rsid w:val="00411A1D"/>
    <w:rsid w:val="00443275"/>
    <w:rsid w:val="00461FC4"/>
    <w:rsid w:val="004E2248"/>
    <w:rsid w:val="005613D1"/>
    <w:rsid w:val="005A2EDF"/>
    <w:rsid w:val="0072154D"/>
    <w:rsid w:val="007A22DC"/>
    <w:rsid w:val="007B2083"/>
    <w:rsid w:val="007E52EB"/>
    <w:rsid w:val="00803161"/>
    <w:rsid w:val="00894B64"/>
    <w:rsid w:val="008B50C5"/>
    <w:rsid w:val="00915CF9"/>
    <w:rsid w:val="00975B43"/>
    <w:rsid w:val="009A35AA"/>
    <w:rsid w:val="009C0359"/>
    <w:rsid w:val="009F3BA8"/>
    <w:rsid w:val="00A12CB3"/>
    <w:rsid w:val="00A14FE8"/>
    <w:rsid w:val="00A27392"/>
    <w:rsid w:val="00B3153A"/>
    <w:rsid w:val="00B328CD"/>
    <w:rsid w:val="00B5515A"/>
    <w:rsid w:val="00B90E1D"/>
    <w:rsid w:val="00BA071B"/>
    <w:rsid w:val="00BB1EAB"/>
    <w:rsid w:val="00BB42C1"/>
    <w:rsid w:val="00BD457B"/>
    <w:rsid w:val="00D17B80"/>
    <w:rsid w:val="00DA6034"/>
    <w:rsid w:val="00E4474D"/>
    <w:rsid w:val="00E622D0"/>
    <w:rsid w:val="00ED61AA"/>
    <w:rsid w:val="00ED7B97"/>
    <w:rsid w:val="00F16A8A"/>
    <w:rsid w:val="00F24C1A"/>
    <w:rsid w:val="00F33341"/>
    <w:rsid w:val="00F522E9"/>
    <w:rsid w:val="00F6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521057"/>
  <w15:docId w15:val="{A89A4D22-6EFA-4F92-8BB4-9064E6E6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w:basedOn w:val="Normal"/>
    <w:next w:val="Normal"/>
    <w:link w:val="Heading1Char"/>
    <w:qFormat/>
    <w:pPr>
      <w:keepNext/>
      <w:jc w:val="center"/>
      <w:outlineLvl w:val="0"/>
    </w:pPr>
    <w:rPr>
      <w:rFonts w:cs="Arial"/>
      <w:szCs w:val="20"/>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606420"/>
      <w:u w:val="single"/>
    </w:r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2">
    <w:name w:val="List 2"/>
    <w:basedOn w:val="Normal"/>
    <w:pPr>
      <w:ind w:left="720" w:hanging="360"/>
    </w:pPr>
    <w:rPr>
      <w:szCs w:val="20"/>
    </w:rPr>
  </w:style>
  <w:style w:type="paragraph" w:styleId="Title">
    <w:name w:val="Title"/>
    <w:basedOn w:val="Normal"/>
    <w:next w:val="Normal"/>
    <w:qFormat/>
    <w:pPr>
      <w:spacing w:after="160" w:line="480" w:lineRule="atLeast"/>
      <w:jc w:val="center"/>
    </w:pPr>
    <w:rPr>
      <w:rFonts w:ascii="Arial" w:hAnsi="Arial" w:cs="Arial"/>
      <w:sz w:val="44"/>
      <w:szCs w:val="20"/>
    </w:rPr>
  </w:style>
  <w:style w:type="paragraph" w:styleId="BodyText">
    <w:name w:val="Body Text"/>
    <w:basedOn w:val="Normal"/>
    <w:link w:val="BodyTextChar"/>
    <w:pPr>
      <w:spacing w:after="120"/>
    </w:pPr>
  </w:style>
  <w:style w:type="paragraph" w:styleId="BodyTextIndent">
    <w:name w:val="Body Text Indent"/>
    <w:basedOn w:val="Normal"/>
    <w:link w:val="BodyTextIndentChar"/>
    <w:pPr>
      <w:autoSpaceDE w:val="0"/>
      <w:autoSpaceDN w:val="0"/>
      <w:adjustRightInd w:val="0"/>
      <w:ind w:left="864" w:hanging="864"/>
    </w:pPr>
    <w:rPr>
      <w:rFonts w:ascii="TimesNewRoman" w:hAnsi="TimesNewRoman"/>
    </w:rPr>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rFonts w:ascii="Tahoma" w:hAnsi="Tahoma" w:cs="Tahoma"/>
      <w:color w:val="000000"/>
      <w:sz w:val="24"/>
      <w:szCs w:val="24"/>
    </w:rPr>
  </w:style>
  <w:style w:type="paragraph" w:customStyle="1" w:styleId="CM1">
    <w:name w:val="CM1"/>
    <w:basedOn w:val="Default"/>
    <w:next w:val="Default"/>
    <w:rPr>
      <w:rFonts w:cs="Times New Roman"/>
      <w:color w:val="auto"/>
    </w:rPr>
  </w:style>
  <w:style w:type="paragraph" w:customStyle="1" w:styleId="CM10">
    <w:name w:val="CM10"/>
    <w:basedOn w:val="Default"/>
    <w:next w:val="Default"/>
    <w:pPr>
      <w:spacing w:after="295"/>
    </w:pPr>
    <w:rPr>
      <w:rFonts w:cs="Times New Roman"/>
      <w:color w:val="auto"/>
    </w:rPr>
  </w:style>
  <w:style w:type="paragraph" w:customStyle="1" w:styleId="CM2">
    <w:name w:val="CM2"/>
    <w:basedOn w:val="Default"/>
    <w:next w:val="Default"/>
    <w:rPr>
      <w:rFonts w:cs="Times New Roman"/>
      <w:color w:val="auto"/>
    </w:rPr>
  </w:style>
  <w:style w:type="paragraph" w:customStyle="1" w:styleId="CM3">
    <w:name w:val="CM3"/>
    <w:basedOn w:val="Default"/>
    <w:next w:val="Default"/>
    <w:rPr>
      <w:rFonts w:cs="Times New Roman"/>
      <w:color w:val="auto"/>
    </w:rPr>
  </w:style>
  <w:style w:type="paragraph" w:customStyle="1" w:styleId="CM4">
    <w:name w:val="CM4"/>
    <w:basedOn w:val="Default"/>
    <w:next w:val="Default"/>
    <w:pPr>
      <w:spacing w:line="260" w:lineRule="atLeast"/>
    </w:pPr>
    <w:rPr>
      <w:rFonts w:cs="Times New Roman"/>
      <w:color w:val="auto"/>
    </w:rPr>
  </w:style>
  <w:style w:type="paragraph" w:customStyle="1" w:styleId="CM11">
    <w:name w:val="CM11"/>
    <w:basedOn w:val="Default"/>
    <w:next w:val="Default"/>
    <w:pPr>
      <w:spacing w:after="550"/>
    </w:pPr>
    <w:rPr>
      <w:rFonts w:cs="Times New Roman"/>
      <w:color w:val="auto"/>
    </w:rPr>
  </w:style>
  <w:style w:type="paragraph" w:customStyle="1" w:styleId="CM5">
    <w:name w:val="CM5"/>
    <w:basedOn w:val="Default"/>
    <w:next w:val="Default"/>
    <w:rPr>
      <w:rFonts w:cs="Times New Roman"/>
      <w:color w:val="auto"/>
    </w:rPr>
  </w:style>
  <w:style w:type="paragraph" w:customStyle="1" w:styleId="CM6">
    <w:name w:val="CM6"/>
    <w:basedOn w:val="Default"/>
    <w:next w:val="Default"/>
    <w:pPr>
      <w:spacing w:line="388" w:lineRule="atLeast"/>
    </w:pPr>
    <w:rPr>
      <w:rFonts w:cs="Times New Roman"/>
      <w:color w:val="auto"/>
    </w:rPr>
  </w:style>
  <w:style w:type="paragraph" w:customStyle="1" w:styleId="CM7">
    <w:name w:val="CM7"/>
    <w:basedOn w:val="Default"/>
    <w:next w:val="Default"/>
    <w:pPr>
      <w:spacing w:line="388" w:lineRule="atLeast"/>
    </w:pPr>
    <w:rPr>
      <w:rFonts w:cs="Times New Roman"/>
      <w:color w:val="auto"/>
    </w:rPr>
  </w:style>
  <w:style w:type="paragraph" w:customStyle="1" w:styleId="CM13">
    <w:name w:val="CM13"/>
    <w:basedOn w:val="Default"/>
    <w:next w:val="Default"/>
    <w:pPr>
      <w:spacing w:after="370"/>
    </w:pPr>
    <w:rPr>
      <w:rFonts w:cs="Times New Roman"/>
      <w:color w:val="auto"/>
    </w:rPr>
  </w:style>
  <w:style w:type="paragraph" w:customStyle="1" w:styleId="CM14">
    <w:name w:val="CM14"/>
    <w:basedOn w:val="Default"/>
    <w:next w:val="Default"/>
    <w:pPr>
      <w:spacing w:after="660"/>
    </w:pPr>
    <w:rPr>
      <w:rFonts w:cs="Times New Roman"/>
      <w:color w:val="auto"/>
    </w:rPr>
  </w:style>
  <w:style w:type="paragraph" w:customStyle="1" w:styleId="CM18">
    <w:name w:val="CM18"/>
    <w:basedOn w:val="Default"/>
    <w:next w:val="Default"/>
    <w:pPr>
      <w:spacing w:after="185"/>
    </w:pPr>
    <w:rPr>
      <w:rFonts w:cs="Times New Roman"/>
      <w:color w:val="auto"/>
    </w:rPr>
  </w:style>
  <w:style w:type="paragraph" w:customStyle="1" w:styleId="CM15">
    <w:name w:val="CM15"/>
    <w:basedOn w:val="Default"/>
    <w:next w:val="Default"/>
    <w:pPr>
      <w:spacing w:after="128"/>
    </w:pPr>
    <w:rPr>
      <w:rFonts w:cs="Times New Roman"/>
      <w:color w:val="auto"/>
    </w:rPr>
  </w:style>
  <w:style w:type="paragraph" w:customStyle="1" w:styleId="CM8">
    <w:name w:val="CM8"/>
    <w:basedOn w:val="Default"/>
    <w:next w:val="Default"/>
    <w:pPr>
      <w:spacing w:line="388" w:lineRule="atLeast"/>
    </w:pPr>
    <w:rPr>
      <w:rFonts w:cs="Times New Roman"/>
      <w:color w:val="auto"/>
    </w:rPr>
  </w:style>
  <w:style w:type="paragraph" w:customStyle="1" w:styleId="CM9">
    <w:name w:val="CM9"/>
    <w:basedOn w:val="Default"/>
    <w:next w:val="Default"/>
    <w:pPr>
      <w:spacing w:line="393" w:lineRule="atLeast"/>
    </w:pPr>
    <w:rPr>
      <w:rFonts w:cs="Times New Roman"/>
      <w:color w:val="auto"/>
    </w:rPr>
  </w:style>
  <w:style w:type="paragraph" w:customStyle="1" w:styleId="CM16">
    <w:name w:val="CM16"/>
    <w:basedOn w:val="Default"/>
    <w:next w:val="Default"/>
    <w:pPr>
      <w:spacing w:after="295"/>
    </w:pPr>
    <w:rPr>
      <w:rFonts w:cs="Times New Roman"/>
      <w:color w:val="auto"/>
    </w:rPr>
  </w:style>
  <w:style w:type="paragraph" w:customStyle="1" w:styleId="Heading31">
    <w:name w:val="Heading 31"/>
    <w:basedOn w:val="Normal"/>
    <w:pPr>
      <w:tabs>
        <w:tab w:val="left" w:pos="900"/>
      </w:tabs>
      <w:ind w:left="900" w:hanging="900"/>
    </w:pPr>
  </w:style>
  <w:style w:type="paragraph" w:customStyle="1" w:styleId="StyleOutlinenumbered">
    <w:name w:val="Style Outline numbered"/>
    <w:basedOn w:val="Heading31"/>
    <w:pPr>
      <w:numPr>
        <w:ilvl w:val="2"/>
        <w:numId w:val="1"/>
      </w:numPr>
    </w:pPr>
  </w:style>
  <w:style w:type="paragraph" w:customStyle="1" w:styleId="TitleTimesNewRoman">
    <w:name w:val="Title + Times New Roman"/>
    <w:aliases w:val="14 pt,Bold"/>
    <w:basedOn w:val="Normal"/>
    <w:pPr>
      <w:jc w:val="center"/>
    </w:pPr>
    <w:rPr>
      <w:b/>
      <w:caps/>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ListNumbers">
    <w:name w:val="List Numbers"/>
    <w:basedOn w:val="List"/>
    <w:pPr>
      <w:numPr>
        <w:numId w:val="2"/>
      </w:numPr>
    </w:pPr>
    <w:rPr>
      <w:caps/>
    </w:rPr>
  </w:style>
  <w:style w:type="paragraph" w:styleId="List">
    <w:name w:val="List"/>
    <w:basedOn w:val="Normal"/>
    <w:pPr>
      <w:ind w:left="360" w:hanging="360"/>
    </w:pPr>
  </w:style>
  <w:style w:type="character" w:customStyle="1" w:styleId="Heading1Char">
    <w:name w:val="Heading 1 Char"/>
    <w:aliases w:val="HEADING 1 Char"/>
    <w:link w:val="Heading1"/>
    <w:rPr>
      <w:rFonts w:cs="Arial"/>
      <w:sz w:val="24"/>
      <w:lang w:val="en-US" w:eastAsia="en-US" w:bidi="ar-SA"/>
    </w:rPr>
  </w:style>
  <w:style w:type="paragraph" w:customStyle="1" w:styleId="221">
    <w:name w:val="2.2.1"/>
    <w:basedOn w:val="StyleOutlinenumbered"/>
    <w:pPr>
      <w:numPr>
        <w:numId w:val="3"/>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DocID">
    <w:name w:val="DocID"/>
    <w:rPr>
      <w:rFonts w:ascii="Times New Roman" w:hAnsi="Times New Roman" w:cs="Times New Roman"/>
      <w:b w:val="0"/>
      <w:color w:val="000000"/>
      <w:sz w:val="18"/>
      <w:szCs w:val="44"/>
      <w:u w:val="none"/>
    </w:rPr>
  </w:style>
  <w:style w:type="paragraph" w:styleId="Revision">
    <w:name w:val="Revision"/>
    <w:hidden/>
    <w:uiPriority w:val="99"/>
    <w:semiHidden/>
    <w:rPr>
      <w:sz w:val="24"/>
      <w:szCs w:val="24"/>
    </w:rPr>
  </w:style>
  <w:style w:type="paragraph" w:styleId="TOCHeading">
    <w:name w:val="TOC Heading"/>
    <w:basedOn w:val="Heading1"/>
    <w:next w:val="Normal"/>
    <w:uiPriority w:val="39"/>
    <w:qFormat/>
    <w:pPr>
      <w:keepLines/>
      <w:spacing w:before="480" w:line="276" w:lineRule="auto"/>
      <w:jc w:val="left"/>
      <w:outlineLvl w:val="9"/>
    </w:pPr>
    <w:rPr>
      <w:rFonts w:ascii="Cambria" w:hAnsi="Cambria" w:cs="Times New Roman"/>
      <w:b/>
      <w:bCs/>
      <w:color w:val="365F91"/>
      <w:sz w:val="28"/>
      <w:szCs w:val="28"/>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BodyTextChar">
    <w:name w:val="Body Text Char"/>
    <w:link w:val="BodyText"/>
    <w:locked/>
    <w:rPr>
      <w:sz w:val="24"/>
      <w:szCs w:val="24"/>
      <w:lang w:val="en-US" w:eastAsia="en-US" w:bidi="ar-SA"/>
    </w:rPr>
  </w:style>
  <w:style w:type="paragraph" w:styleId="ListParagraph">
    <w:name w:val="List Paragraph"/>
    <w:basedOn w:val="Normal"/>
    <w:uiPriority w:val="34"/>
    <w:qFormat/>
    <w:pPr>
      <w:ind w:left="720"/>
    </w:pPr>
    <w:rPr>
      <w:rFonts w:ascii="Calibri" w:eastAsia="PMingLiU" w:hAnsi="Calibri"/>
      <w:sz w:val="22"/>
      <w:szCs w:val="22"/>
      <w:lang w:eastAsia="zh-TW"/>
    </w:rPr>
  </w:style>
  <w:style w:type="paragraph" w:styleId="ListBullet4">
    <w:name w:val="List Bullet 4"/>
    <w:aliases w:val="b4"/>
    <w:basedOn w:val="Normal"/>
    <w:pPr>
      <w:numPr>
        <w:numId w:val="9"/>
      </w:numPr>
      <w:spacing w:after="240"/>
      <w:jc w:val="both"/>
    </w:pPr>
    <w:rPr>
      <w:szCs w:val="20"/>
    </w:rPr>
  </w:style>
  <w:style w:type="character" w:customStyle="1" w:styleId="BodyTextIndentChar">
    <w:name w:val="Body Text Indent Char"/>
    <w:basedOn w:val="DefaultParagraphFont"/>
    <w:link w:val="BodyTextIndent"/>
    <w:rPr>
      <w:rFonts w:ascii="TimesNewRoman" w:hAnsi="TimesNew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5AD94A6C03994A9154C59138959D30" ma:contentTypeVersion="12" ma:contentTypeDescription="Create a new document." ma:contentTypeScope="" ma:versionID="51d969e5845ab9fb8db59ea57ed7156c">
  <xsd:schema xmlns:xsd="http://www.w3.org/2001/XMLSchema" xmlns:xs="http://www.w3.org/2001/XMLSchema" xmlns:p="http://schemas.microsoft.com/office/2006/metadata/properties" xmlns:ns2="06a704af-1093-41df-910a-e362277c20fd" xmlns:ns3="1d5cf406-0137-4b3b-8c76-6867b6bd4ba2" targetNamespace="http://schemas.microsoft.com/office/2006/metadata/properties" ma:root="true" ma:fieldsID="6b1cd81f2f9514bd39ff3d1acc0981c7" ns2:_="" ns3:_="">
    <xsd:import namespace="06a704af-1093-41df-910a-e362277c20fd"/>
    <xsd:import namespace="1d5cf406-0137-4b3b-8c76-6867b6bd4ba2"/>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c16be22-213a-4815-b2de-89a0cd844ccb}" ma:internalName="TaxCatchAll" ma:showField="CatchAllData" ma:web="e4144101-68f2-4ef3-9814-097fc50eeb8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c16be22-213a-4815-b2de-89a0cd844ccb}" ma:internalName="TaxCatchAllLabel" ma:readOnly="true" ma:showField="CatchAllDataLabel" ma:web="e4144101-68f2-4ef3-9814-097fc50eeb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5cf406-0137-4b3b-8c76-6867b6bd4b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b71415-aff0-46ac-ad8a-1a0b343c080f"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archable xmlns="06a704af-1093-41df-910a-e362277c20fd">false</Searchable>
    <TaxCatchAll xmlns="06a704af-1093-41df-910a-e362277c20fd"/>
    <e81e820a66454e4dae05b8cd72e410dc xmlns="06a704af-1093-41df-910a-e362277c20fd">
      <Terms xmlns="http://schemas.microsoft.com/office/infopath/2007/PartnerControls"/>
    </e81e820a66454e4dae05b8cd72e410dc>
  </documentManagement>
</p:properties>
</file>

<file path=customXml/itemProps1.xml><?xml version="1.0" encoding="utf-8"?>
<ds:datastoreItem xmlns:ds="http://schemas.openxmlformats.org/officeDocument/2006/customXml" ds:itemID="{3A2B6F2A-C70E-49CC-B943-2685FED992CC}">
  <ds:schemaRefs>
    <ds:schemaRef ds:uri="http://schemas.openxmlformats.org/officeDocument/2006/bibliography"/>
  </ds:schemaRefs>
</ds:datastoreItem>
</file>

<file path=customXml/itemProps2.xml><?xml version="1.0" encoding="utf-8"?>
<ds:datastoreItem xmlns:ds="http://schemas.openxmlformats.org/officeDocument/2006/customXml" ds:itemID="{453B72D7-CBFB-4F50-9988-45C066FFFB3C}"/>
</file>

<file path=customXml/itemProps3.xml><?xml version="1.0" encoding="utf-8"?>
<ds:datastoreItem xmlns:ds="http://schemas.openxmlformats.org/officeDocument/2006/customXml" ds:itemID="{2AC9775E-EAC1-4FBE-8CBF-E6B139F4B2CB}"/>
</file>

<file path=customXml/itemProps4.xml><?xml version="1.0" encoding="utf-8"?>
<ds:datastoreItem xmlns:ds="http://schemas.openxmlformats.org/officeDocument/2006/customXml" ds:itemID="{4FFF6637-5109-40EE-9A56-247AB1E45F62}"/>
</file>

<file path=customXml/itemProps5.xml><?xml version="1.0" encoding="utf-8"?>
<ds:datastoreItem xmlns:ds="http://schemas.openxmlformats.org/officeDocument/2006/customXml" ds:itemID="{F46FAC6A-D5C6-40D1-8AF3-75CA9571096F}"/>
</file>

<file path=docProps/app.xml><?xml version="1.0" encoding="utf-8"?>
<Properties xmlns="http://schemas.openxmlformats.org/officeDocument/2006/extended-properties" xmlns:vt="http://schemas.openxmlformats.org/officeDocument/2006/docPropsVTypes">
  <Template>Normal.dotm</Template>
  <TotalTime>3</TotalTime>
  <Pages>12</Pages>
  <Words>3465</Words>
  <Characters>19520</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Bartolomei, Michelle Lynne</dc:creator>
  <cp:lastModifiedBy>Ainsworth, Jennifer L</cp:lastModifiedBy>
  <cp:revision>2</cp:revision>
  <dcterms:created xsi:type="dcterms:W3CDTF">2021-05-06T16:37:00Z</dcterms:created>
  <dcterms:modified xsi:type="dcterms:W3CDTF">2021-05-06T16:37:00Z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c8e74a-db15-49f1-980d-3d74f2e3ff07_Enabled">
    <vt:lpwstr>true</vt:lpwstr>
  </property>
  <property fmtid="{D5CDD505-2E9C-101B-9397-08002B2CF9AE}" pid="3" name="MSIP_Label_e0c8e74a-db15-49f1-980d-3d74f2e3ff07_SetDate">
    <vt:lpwstr>2021-04-14T17:36:11Z</vt:lpwstr>
  </property>
  <property fmtid="{D5CDD505-2E9C-101B-9397-08002B2CF9AE}" pid="4" name="MSIP_Label_e0c8e74a-db15-49f1-980d-3d74f2e3ff07_Method">
    <vt:lpwstr>Privileged</vt:lpwstr>
  </property>
  <property fmtid="{D5CDD505-2E9C-101B-9397-08002B2CF9AE}" pid="5" name="MSIP_Label_e0c8e74a-db15-49f1-980d-3d74f2e3ff07_Name">
    <vt:lpwstr>376d9127-3fad-41bb7-827b-657efc89d923</vt:lpwstr>
  </property>
  <property fmtid="{D5CDD505-2E9C-101B-9397-08002B2CF9AE}" pid="6" name="MSIP_Label_e0c8e74a-db15-49f1-980d-3d74f2e3ff07_SiteId">
    <vt:lpwstr>25b79aa0-07c6-4d65-9c80-df92aacdc157</vt:lpwstr>
  </property>
  <property fmtid="{D5CDD505-2E9C-101B-9397-08002B2CF9AE}" pid="7" name="MSIP_Label_e0c8e74a-db15-49f1-980d-3d74f2e3ff07_ActionId">
    <vt:lpwstr>58ae8e4c-51f6-41bb-be40-053f7288ba1d</vt:lpwstr>
  </property>
  <property fmtid="{D5CDD505-2E9C-101B-9397-08002B2CF9AE}" pid="8" name="MSIP_Label_e0c8e74a-db15-49f1-980d-3d74f2e3ff07_ContentBits">
    <vt:lpwstr>2</vt:lpwstr>
  </property>
  <property fmtid="{D5CDD505-2E9C-101B-9397-08002B2CF9AE}" pid="9" name="ContentTypeId">
    <vt:lpwstr>0x0101009E5AD94A6C03994A9154C59138959D30</vt:lpwstr>
  </property>
</Properties>
</file>